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EC0600" w14:paraId="456D51DB" w14:textId="77777777">
        <w:trPr>
          <w:tblCellSpacing w:w="60" w:type="dxa"/>
        </w:trPr>
        <w:tc>
          <w:tcPr>
            <w:tcW w:w="1200" w:type="pct"/>
            <w:shd w:val="clear" w:color="auto" w:fill="E7F0F9"/>
          </w:tcPr>
          <w:p w14:paraId="579FEAC7" w14:textId="77777777" w:rsidR="00EC0600" w:rsidRDefault="003F683D">
            <w:pPr>
              <w:spacing w:after="0" w:line="240" w:lineRule="auto"/>
            </w:pPr>
            <w:r>
              <w:rPr>
                <w:b/>
              </w:rPr>
              <w:t>RKP broj</w:t>
            </w:r>
          </w:p>
        </w:tc>
        <w:tc>
          <w:tcPr>
            <w:tcW w:w="0" w:type="auto"/>
            <w:shd w:val="clear" w:color="auto" w:fill="E7F0F9"/>
          </w:tcPr>
          <w:p w14:paraId="2CFEC8E2" w14:textId="77777777" w:rsidR="00EC0600" w:rsidRDefault="003F683D">
            <w:pPr>
              <w:spacing w:after="0" w:line="240" w:lineRule="auto"/>
            </w:pPr>
            <w:r>
              <w:t>22824</w:t>
            </w:r>
          </w:p>
        </w:tc>
      </w:tr>
      <w:tr w:rsidR="00EC0600" w14:paraId="17DC7D31" w14:textId="77777777">
        <w:trPr>
          <w:tblCellSpacing w:w="60" w:type="dxa"/>
        </w:trPr>
        <w:tc>
          <w:tcPr>
            <w:tcW w:w="1200" w:type="pct"/>
            <w:shd w:val="clear" w:color="auto" w:fill="E7F0F9"/>
          </w:tcPr>
          <w:p w14:paraId="0DEA0A8A" w14:textId="77777777" w:rsidR="00EC0600" w:rsidRDefault="003F683D">
            <w:pPr>
              <w:spacing w:after="0" w:line="240" w:lineRule="auto"/>
            </w:pPr>
            <w:r>
              <w:rPr>
                <w:b/>
              </w:rPr>
              <w:t>Naziv obveznika</w:t>
            </w:r>
          </w:p>
        </w:tc>
        <w:tc>
          <w:tcPr>
            <w:tcW w:w="0" w:type="auto"/>
            <w:shd w:val="clear" w:color="auto" w:fill="E7F0F9"/>
          </w:tcPr>
          <w:p w14:paraId="66A30AA6" w14:textId="77777777" w:rsidR="00EC0600" w:rsidRDefault="003F683D">
            <w:pPr>
              <w:spacing w:after="0" w:line="240" w:lineRule="auto"/>
            </w:pPr>
            <w:r>
              <w:t>VELEUČILIŠTE U ŠIBENIKU</w:t>
            </w:r>
          </w:p>
        </w:tc>
      </w:tr>
      <w:tr w:rsidR="00EC0600" w14:paraId="526D19BE" w14:textId="77777777">
        <w:trPr>
          <w:tblCellSpacing w:w="60" w:type="dxa"/>
        </w:trPr>
        <w:tc>
          <w:tcPr>
            <w:tcW w:w="1200" w:type="pct"/>
            <w:shd w:val="clear" w:color="auto" w:fill="E7F0F9"/>
          </w:tcPr>
          <w:p w14:paraId="00BB7016" w14:textId="77777777" w:rsidR="00EC0600" w:rsidRDefault="003F683D">
            <w:pPr>
              <w:spacing w:after="0" w:line="240" w:lineRule="auto"/>
            </w:pPr>
            <w:r>
              <w:rPr>
                <w:b/>
              </w:rPr>
              <w:t>Razina</w:t>
            </w:r>
          </w:p>
        </w:tc>
        <w:tc>
          <w:tcPr>
            <w:tcW w:w="0" w:type="auto"/>
            <w:shd w:val="clear" w:color="auto" w:fill="E7F0F9"/>
          </w:tcPr>
          <w:p w14:paraId="31C7A0B5" w14:textId="77777777" w:rsidR="00EC0600" w:rsidRDefault="003F683D">
            <w:pPr>
              <w:spacing w:after="0" w:line="240" w:lineRule="auto"/>
            </w:pPr>
            <w:r>
              <w:t>11</w:t>
            </w:r>
          </w:p>
        </w:tc>
      </w:tr>
    </w:tbl>
    <w:p w14:paraId="3E817922" w14:textId="77777777" w:rsidR="00EC0600" w:rsidRDefault="003F683D">
      <w:r>
        <w:br/>
      </w:r>
    </w:p>
    <w:p w14:paraId="0810ED1D" w14:textId="77777777" w:rsidR="00EC0600" w:rsidRDefault="003F683D">
      <w:pPr>
        <w:spacing w:line="240" w:lineRule="auto"/>
        <w:jc w:val="center"/>
      </w:pPr>
      <w:r>
        <w:rPr>
          <w:b/>
          <w:sz w:val="28"/>
        </w:rPr>
        <w:t>BILJEŠKE UZ FINANCIJSKE IZVJEŠTAJE</w:t>
      </w:r>
    </w:p>
    <w:p w14:paraId="0C652A42" w14:textId="77777777" w:rsidR="00EC0600" w:rsidRDefault="003F683D">
      <w:pPr>
        <w:spacing w:line="240" w:lineRule="auto"/>
        <w:jc w:val="center"/>
      </w:pPr>
      <w:r>
        <w:rPr>
          <w:b/>
          <w:sz w:val="28"/>
        </w:rPr>
        <w:t>ZA RAZDOBLJE</w:t>
      </w:r>
    </w:p>
    <w:p w14:paraId="2012ECB6" w14:textId="77777777" w:rsidR="00EC0600" w:rsidRDefault="003F683D">
      <w:pPr>
        <w:spacing w:line="240" w:lineRule="auto"/>
        <w:jc w:val="center"/>
      </w:pPr>
      <w:r>
        <w:rPr>
          <w:b/>
          <w:sz w:val="28"/>
        </w:rPr>
        <w:t>I - XII 2025.</w:t>
      </w:r>
    </w:p>
    <w:p w14:paraId="110FC794" w14:textId="77777777" w:rsidR="00EC0600" w:rsidRDefault="00EC0600"/>
    <w:p w14:paraId="25683ADB" w14:textId="77777777" w:rsidR="00EC0600" w:rsidRDefault="003F683D">
      <w:pPr>
        <w:keepNext/>
        <w:spacing w:line="240" w:lineRule="auto"/>
        <w:jc w:val="center"/>
      </w:pPr>
      <w:r>
        <w:rPr>
          <w:b/>
          <w:sz w:val="28"/>
        </w:rPr>
        <w:t>Izvještaj o prihodima i rashodima, primicima i izdacima</w:t>
      </w:r>
    </w:p>
    <w:p w14:paraId="2AA69EFA" w14:textId="77777777" w:rsidR="00EC0600" w:rsidRDefault="003F683D">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4C33F1FE" w14:textId="77777777">
        <w:trPr>
          <w:cantSplit/>
        </w:trPr>
        <w:tc>
          <w:tcPr>
            <w:tcW w:w="700" w:type="dxa"/>
            <w:shd w:val="clear" w:color="auto" w:fill="E7F0F9"/>
            <w:tcMar>
              <w:top w:w="0" w:type="dxa"/>
              <w:bottom w:w="0" w:type="dxa"/>
            </w:tcMar>
            <w:vAlign w:val="center"/>
          </w:tcPr>
          <w:p w14:paraId="552DB83B"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01A059"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7716C46"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5536928"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F6186C"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B13A87F" w14:textId="77777777" w:rsidR="00EC0600" w:rsidRDefault="003F683D">
            <w:pPr>
              <w:keepNext/>
              <w:keepLines/>
              <w:spacing w:after="0" w:line="240" w:lineRule="auto"/>
              <w:jc w:val="center"/>
            </w:pPr>
            <w:r>
              <w:rPr>
                <w:b/>
                <w:sz w:val="18"/>
              </w:rPr>
              <w:t>Indeks (%)</w:t>
            </w:r>
          </w:p>
        </w:tc>
      </w:tr>
      <w:tr w:rsidR="00EC0600" w14:paraId="05F3CBB1" w14:textId="77777777">
        <w:trPr>
          <w:cantSplit/>
          <w:trHeight w:val="560"/>
        </w:trPr>
        <w:tc>
          <w:tcPr>
            <w:tcW w:w="700" w:type="dxa"/>
            <w:tcMar>
              <w:top w:w="0" w:type="dxa"/>
              <w:bottom w:w="0" w:type="dxa"/>
            </w:tcMar>
            <w:vAlign w:val="center"/>
          </w:tcPr>
          <w:p w14:paraId="7FD77FA7" w14:textId="77777777" w:rsidR="00EC0600" w:rsidRDefault="003F683D">
            <w:pPr>
              <w:keepNext/>
              <w:keepLines/>
              <w:spacing w:after="0" w:line="240" w:lineRule="auto"/>
            </w:pPr>
            <w:r>
              <w:rPr>
                <w:sz w:val="18"/>
              </w:rPr>
              <w:t>6</w:t>
            </w:r>
          </w:p>
        </w:tc>
        <w:tc>
          <w:tcPr>
            <w:tcW w:w="3180" w:type="dxa"/>
            <w:tcMar>
              <w:top w:w="0" w:type="dxa"/>
              <w:bottom w:w="0" w:type="dxa"/>
            </w:tcMar>
            <w:vAlign w:val="center"/>
          </w:tcPr>
          <w:p w14:paraId="09491678" w14:textId="77777777" w:rsidR="00EC0600" w:rsidRDefault="003F683D">
            <w:pPr>
              <w:keepNext/>
              <w:keepLines/>
              <w:spacing w:after="0" w:line="240" w:lineRule="auto"/>
            </w:pPr>
            <w:r>
              <w:rPr>
                <w:sz w:val="18"/>
              </w:rPr>
              <w:t>PRIHODI POSLOVANJA (šifre 61+62+63+64+65+66+67+68)</w:t>
            </w:r>
          </w:p>
        </w:tc>
        <w:tc>
          <w:tcPr>
            <w:tcW w:w="700" w:type="dxa"/>
            <w:tcMar>
              <w:top w:w="0" w:type="dxa"/>
              <w:bottom w:w="0" w:type="dxa"/>
            </w:tcMar>
            <w:vAlign w:val="center"/>
          </w:tcPr>
          <w:p w14:paraId="53EFA32E" w14:textId="77777777" w:rsidR="00EC0600" w:rsidRDefault="003F683D">
            <w:pPr>
              <w:keepNext/>
              <w:keepLines/>
              <w:spacing w:after="0" w:line="240" w:lineRule="auto"/>
            </w:pPr>
            <w:r>
              <w:rPr>
                <w:sz w:val="18"/>
              </w:rPr>
              <w:t>6</w:t>
            </w:r>
          </w:p>
        </w:tc>
        <w:tc>
          <w:tcPr>
            <w:tcW w:w="1860" w:type="dxa"/>
            <w:tcMar>
              <w:top w:w="0" w:type="dxa"/>
              <w:bottom w:w="0" w:type="dxa"/>
            </w:tcMar>
            <w:vAlign w:val="center"/>
          </w:tcPr>
          <w:p w14:paraId="2B53EE49" w14:textId="77777777" w:rsidR="00EC0600" w:rsidRDefault="003F683D">
            <w:pPr>
              <w:keepNext/>
              <w:keepLines/>
              <w:spacing w:after="0" w:line="240" w:lineRule="auto"/>
              <w:jc w:val="right"/>
            </w:pPr>
            <w:r>
              <w:rPr>
                <w:sz w:val="18"/>
              </w:rPr>
              <w:t>2.901.329,93</w:t>
            </w:r>
          </w:p>
        </w:tc>
        <w:tc>
          <w:tcPr>
            <w:tcW w:w="1860" w:type="dxa"/>
            <w:tcMar>
              <w:top w:w="0" w:type="dxa"/>
              <w:bottom w:w="0" w:type="dxa"/>
            </w:tcMar>
            <w:vAlign w:val="center"/>
          </w:tcPr>
          <w:p w14:paraId="4DE92070" w14:textId="77777777" w:rsidR="00EC0600" w:rsidRDefault="003F683D">
            <w:pPr>
              <w:keepNext/>
              <w:keepLines/>
              <w:spacing w:after="0" w:line="240" w:lineRule="auto"/>
              <w:jc w:val="right"/>
            </w:pPr>
            <w:r>
              <w:rPr>
                <w:sz w:val="18"/>
              </w:rPr>
              <w:t>3.544.527,60</w:t>
            </w:r>
          </w:p>
        </w:tc>
        <w:tc>
          <w:tcPr>
            <w:tcW w:w="700" w:type="dxa"/>
            <w:tcMar>
              <w:top w:w="0" w:type="dxa"/>
              <w:bottom w:w="0" w:type="dxa"/>
            </w:tcMar>
            <w:vAlign w:val="center"/>
          </w:tcPr>
          <w:p w14:paraId="038E5231" w14:textId="77777777" w:rsidR="00EC0600" w:rsidRDefault="003F683D">
            <w:pPr>
              <w:keepNext/>
              <w:keepLines/>
              <w:spacing w:after="0" w:line="240" w:lineRule="auto"/>
              <w:jc w:val="right"/>
            </w:pPr>
            <w:r>
              <w:rPr>
                <w:sz w:val="18"/>
              </w:rPr>
              <w:t>122,2</w:t>
            </w:r>
          </w:p>
        </w:tc>
      </w:tr>
      <w:tr w:rsidR="00EC0600" w14:paraId="170BF672" w14:textId="77777777">
        <w:trPr>
          <w:cantSplit/>
          <w:trHeight w:val="560"/>
        </w:trPr>
        <w:tc>
          <w:tcPr>
            <w:tcW w:w="700" w:type="dxa"/>
            <w:tcMar>
              <w:top w:w="0" w:type="dxa"/>
              <w:bottom w:w="0" w:type="dxa"/>
            </w:tcMar>
            <w:vAlign w:val="center"/>
          </w:tcPr>
          <w:p w14:paraId="74D9E704" w14:textId="77777777" w:rsidR="00EC0600" w:rsidRDefault="003F683D">
            <w:pPr>
              <w:keepNext/>
              <w:keepLines/>
              <w:spacing w:after="0" w:line="240" w:lineRule="auto"/>
            </w:pPr>
            <w:r>
              <w:rPr>
                <w:sz w:val="18"/>
              </w:rPr>
              <w:t>3</w:t>
            </w:r>
          </w:p>
        </w:tc>
        <w:tc>
          <w:tcPr>
            <w:tcW w:w="3180" w:type="dxa"/>
            <w:tcMar>
              <w:top w:w="0" w:type="dxa"/>
              <w:bottom w:w="0" w:type="dxa"/>
            </w:tcMar>
            <w:vAlign w:val="center"/>
          </w:tcPr>
          <w:p w14:paraId="66807A9D" w14:textId="77777777" w:rsidR="00EC0600" w:rsidRDefault="003F683D">
            <w:pPr>
              <w:keepNext/>
              <w:keepLines/>
              <w:spacing w:after="0" w:line="240" w:lineRule="auto"/>
            </w:pPr>
            <w:r>
              <w:rPr>
                <w:sz w:val="18"/>
              </w:rPr>
              <w:t>RASHODI POSLOVANJA (šifre 31+32+34+35+36+37+38)</w:t>
            </w:r>
          </w:p>
        </w:tc>
        <w:tc>
          <w:tcPr>
            <w:tcW w:w="700" w:type="dxa"/>
            <w:tcMar>
              <w:top w:w="0" w:type="dxa"/>
              <w:bottom w:w="0" w:type="dxa"/>
            </w:tcMar>
            <w:vAlign w:val="center"/>
          </w:tcPr>
          <w:p w14:paraId="69ECC41B" w14:textId="77777777" w:rsidR="00EC0600" w:rsidRDefault="003F683D">
            <w:pPr>
              <w:keepNext/>
              <w:keepLines/>
              <w:spacing w:after="0" w:line="240" w:lineRule="auto"/>
            </w:pPr>
            <w:r>
              <w:rPr>
                <w:sz w:val="18"/>
              </w:rPr>
              <w:t>3</w:t>
            </w:r>
          </w:p>
        </w:tc>
        <w:tc>
          <w:tcPr>
            <w:tcW w:w="1860" w:type="dxa"/>
            <w:tcMar>
              <w:top w:w="0" w:type="dxa"/>
              <w:bottom w:w="0" w:type="dxa"/>
            </w:tcMar>
            <w:vAlign w:val="center"/>
          </w:tcPr>
          <w:p w14:paraId="3B2C2F4D" w14:textId="77777777" w:rsidR="00EC0600" w:rsidRDefault="003F683D">
            <w:pPr>
              <w:keepNext/>
              <w:keepLines/>
              <w:spacing w:after="0" w:line="240" w:lineRule="auto"/>
              <w:jc w:val="right"/>
            </w:pPr>
            <w:r>
              <w:rPr>
                <w:sz w:val="18"/>
              </w:rPr>
              <w:t>2.798.876,95</w:t>
            </w:r>
          </w:p>
        </w:tc>
        <w:tc>
          <w:tcPr>
            <w:tcW w:w="1860" w:type="dxa"/>
            <w:tcMar>
              <w:top w:w="0" w:type="dxa"/>
              <w:bottom w:w="0" w:type="dxa"/>
            </w:tcMar>
            <w:vAlign w:val="center"/>
          </w:tcPr>
          <w:p w14:paraId="291F819A" w14:textId="77777777" w:rsidR="00EC0600" w:rsidRDefault="003F683D">
            <w:pPr>
              <w:keepNext/>
              <w:keepLines/>
              <w:spacing w:after="0" w:line="240" w:lineRule="auto"/>
              <w:jc w:val="right"/>
            </w:pPr>
            <w:r>
              <w:rPr>
                <w:sz w:val="18"/>
              </w:rPr>
              <w:t>3.410.740,16</w:t>
            </w:r>
          </w:p>
        </w:tc>
        <w:tc>
          <w:tcPr>
            <w:tcW w:w="700" w:type="dxa"/>
            <w:tcMar>
              <w:top w:w="0" w:type="dxa"/>
              <w:bottom w:w="0" w:type="dxa"/>
            </w:tcMar>
            <w:vAlign w:val="center"/>
          </w:tcPr>
          <w:p w14:paraId="38BBC89D" w14:textId="77777777" w:rsidR="00EC0600" w:rsidRDefault="003F683D">
            <w:pPr>
              <w:keepNext/>
              <w:keepLines/>
              <w:spacing w:after="0" w:line="240" w:lineRule="auto"/>
              <w:jc w:val="right"/>
            </w:pPr>
            <w:r>
              <w:rPr>
                <w:sz w:val="18"/>
              </w:rPr>
              <w:t>121,9</w:t>
            </w:r>
          </w:p>
        </w:tc>
      </w:tr>
      <w:tr w:rsidR="00EC0600" w14:paraId="2399DCB3" w14:textId="77777777">
        <w:trPr>
          <w:cantSplit/>
          <w:trHeight w:val="560"/>
        </w:trPr>
        <w:tc>
          <w:tcPr>
            <w:tcW w:w="700" w:type="dxa"/>
            <w:tcMar>
              <w:top w:w="0" w:type="dxa"/>
              <w:bottom w:w="0" w:type="dxa"/>
            </w:tcMar>
            <w:vAlign w:val="center"/>
          </w:tcPr>
          <w:p w14:paraId="40FA2ADC" w14:textId="77777777" w:rsidR="00EC0600" w:rsidRDefault="00EC0600">
            <w:pPr>
              <w:keepNext/>
              <w:keepLines/>
              <w:spacing w:after="0" w:line="240" w:lineRule="auto"/>
            </w:pPr>
          </w:p>
        </w:tc>
        <w:tc>
          <w:tcPr>
            <w:tcW w:w="3180" w:type="dxa"/>
            <w:tcMar>
              <w:top w:w="0" w:type="dxa"/>
              <w:bottom w:w="0" w:type="dxa"/>
            </w:tcMar>
            <w:vAlign w:val="center"/>
          </w:tcPr>
          <w:p w14:paraId="584B23A5" w14:textId="77777777" w:rsidR="00EC0600" w:rsidRDefault="003F683D">
            <w:pPr>
              <w:keepNext/>
              <w:keepLines/>
              <w:spacing w:after="0" w:line="240" w:lineRule="auto"/>
            </w:pPr>
            <w:r>
              <w:rPr>
                <w:b/>
                <w:sz w:val="18"/>
              </w:rPr>
              <w:t>VIŠAK PRIHODA POSLOVANJA (šifre 6-Z005)</w:t>
            </w:r>
          </w:p>
        </w:tc>
        <w:tc>
          <w:tcPr>
            <w:tcW w:w="700" w:type="dxa"/>
            <w:tcMar>
              <w:top w:w="0" w:type="dxa"/>
              <w:bottom w:w="0" w:type="dxa"/>
            </w:tcMar>
            <w:vAlign w:val="center"/>
          </w:tcPr>
          <w:p w14:paraId="55A35618" w14:textId="77777777" w:rsidR="00EC0600" w:rsidRDefault="003F683D">
            <w:pPr>
              <w:keepNext/>
              <w:keepLines/>
              <w:spacing w:after="0" w:line="240" w:lineRule="auto"/>
            </w:pPr>
            <w:r>
              <w:rPr>
                <w:b/>
                <w:sz w:val="18"/>
              </w:rPr>
              <w:t>X001</w:t>
            </w:r>
          </w:p>
        </w:tc>
        <w:tc>
          <w:tcPr>
            <w:tcW w:w="1860" w:type="dxa"/>
            <w:tcMar>
              <w:top w:w="0" w:type="dxa"/>
              <w:bottom w:w="0" w:type="dxa"/>
            </w:tcMar>
            <w:vAlign w:val="center"/>
          </w:tcPr>
          <w:p w14:paraId="762AB8CC" w14:textId="77777777" w:rsidR="00EC0600" w:rsidRDefault="003F683D">
            <w:pPr>
              <w:keepNext/>
              <w:keepLines/>
              <w:spacing w:after="0" w:line="240" w:lineRule="auto"/>
              <w:jc w:val="right"/>
            </w:pPr>
            <w:r>
              <w:rPr>
                <w:b/>
                <w:sz w:val="18"/>
              </w:rPr>
              <w:t>102.452,98</w:t>
            </w:r>
          </w:p>
        </w:tc>
        <w:tc>
          <w:tcPr>
            <w:tcW w:w="1860" w:type="dxa"/>
            <w:tcMar>
              <w:top w:w="0" w:type="dxa"/>
              <w:bottom w:w="0" w:type="dxa"/>
            </w:tcMar>
            <w:vAlign w:val="center"/>
          </w:tcPr>
          <w:p w14:paraId="60006165" w14:textId="77777777" w:rsidR="00EC0600" w:rsidRDefault="003F683D">
            <w:pPr>
              <w:keepNext/>
              <w:keepLines/>
              <w:spacing w:after="0" w:line="240" w:lineRule="auto"/>
              <w:jc w:val="right"/>
            </w:pPr>
            <w:r>
              <w:rPr>
                <w:b/>
                <w:sz w:val="18"/>
              </w:rPr>
              <w:t>133.787,44</w:t>
            </w:r>
          </w:p>
        </w:tc>
        <w:tc>
          <w:tcPr>
            <w:tcW w:w="700" w:type="dxa"/>
            <w:tcMar>
              <w:top w:w="0" w:type="dxa"/>
              <w:bottom w:w="0" w:type="dxa"/>
            </w:tcMar>
            <w:vAlign w:val="center"/>
          </w:tcPr>
          <w:p w14:paraId="09A54021" w14:textId="77777777" w:rsidR="00EC0600" w:rsidRDefault="003F683D">
            <w:pPr>
              <w:keepNext/>
              <w:keepLines/>
              <w:spacing w:after="0" w:line="240" w:lineRule="auto"/>
              <w:jc w:val="right"/>
            </w:pPr>
            <w:r>
              <w:rPr>
                <w:b/>
                <w:sz w:val="18"/>
              </w:rPr>
              <w:t>130,6</w:t>
            </w:r>
          </w:p>
        </w:tc>
      </w:tr>
      <w:tr w:rsidR="00EC0600" w14:paraId="1C428519" w14:textId="77777777">
        <w:trPr>
          <w:cantSplit/>
          <w:trHeight w:val="560"/>
        </w:trPr>
        <w:tc>
          <w:tcPr>
            <w:tcW w:w="700" w:type="dxa"/>
            <w:tcMar>
              <w:top w:w="0" w:type="dxa"/>
              <w:bottom w:w="0" w:type="dxa"/>
            </w:tcMar>
            <w:vAlign w:val="center"/>
          </w:tcPr>
          <w:p w14:paraId="60B48708" w14:textId="77777777" w:rsidR="00EC0600" w:rsidRDefault="003F683D">
            <w:pPr>
              <w:keepNext/>
              <w:keepLines/>
              <w:spacing w:after="0" w:line="240" w:lineRule="auto"/>
            </w:pPr>
            <w:r>
              <w:rPr>
                <w:sz w:val="18"/>
              </w:rPr>
              <w:t>7</w:t>
            </w:r>
          </w:p>
        </w:tc>
        <w:tc>
          <w:tcPr>
            <w:tcW w:w="3180" w:type="dxa"/>
            <w:tcMar>
              <w:top w:w="0" w:type="dxa"/>
              <w:bottom w:w="0" w:type="dxa"/>
            </w:tcMar>
            <w:vAlign w:val="center"/>
          </w:tcPr>
          <w:p w14:paraId="08AD2D1B" w14:textId="77777777" w:rsidR="00EC0600" w:rsidRDefault="003F683D">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6A80733" w14:textId="77777777" w:rsidR="00EC0600" w:rsidRDefault="003F683D">
            <w:pPr>
              <w:keepNext/>
              <w:keepLines/>
              <w:spacing w:after="0" w:line="240" w:lineRule="auto"/>
            </w:pPr>
            <w:r>
              <w:rPr>
                <w:sz w:val="18"/>
              </w:rPr>
              <w:t>7</w:t>
            </w:r>
          </w:p>
        </w:tc>
        <w:tc>
          <w:tcPr>
            <w:tcW w:w="1860" w:type="dxa"/>
            <w:tcMar>
              <w:top w:w="0" w:type="dxa"/>
              <w:bottom w:w="0" w:type="dxa"/>
            </w:tcMar>
            <w:vAlign w:val="center"/>
          </w:tcPr>
          <w:p w14:paraId="272917AE" w14:textId="77777777" w:rsidR="00EC0600" w:rsidRDefault="003F683D">
            <w:pPr>
              <w:keepNext/>
              <w:keepLines/>
              <w:spacing w:after="0" w:line="240" w:lineRule="auto"/>
              <w:jc w:val="right"/>
            </w:pPr>
            <w:r>
              <w:rPr>
                <w:sz w:val="18"/>
              </w:rPr>
              <w:t>1.666,66</w:t>
            </w:r>
          </w:p>
        </w:tc>
        <w:tc>
          <w:tcPr>
            <w:tcW w:w="1860" w:type="dxa"/>
            <w:tcMar>
              <w:top w:w="0" w:type="dxa"/>
              <w:bottom w:w="0" w:type="dxa"/>
            </w:tcMar>
            <w:vAlign w:val="center"/>
          </w:tcPr>
          <w:p w14:paraId="6E7E3444" w14:textId="77777777" w:rsidR="00EC0600" w:rsidRDefault="003F683D">
            <w:pPr>
              <w:keepNext/>
              <w:keepLines/>
              <w:spacing w:after="0" w:line="240" w:lineRule="auto"/>
              <w:jc w:val="right"/>
            </w:pPr>
            <w:r>
              <w:rPr>
                <w:sz w:val="18"/>
              </w:rPr>
              <w:t>0,00</w:t>
            </w:r>
          </w:p>
        </w:tc>
        <w:tc>
          <w:tcPr>
            <w:tcW w:w="700" w:type="dxa"/>
            <w:tcMar>
              <w:top w:w="0" w:type="dxa"/>
              <w:bottom w:w="0" w:type="dxa"/>
            </w:tcMar>
            <w:vAlign w:val="center"/>
          </w:tcPr>
          <w:p w14:paraId="7AA80E89" w14:textId="77777777" w:rsidR="00EC0600" w:rsidRDefault="003F683D">
            <w:pPr>
              <w:keepNext/>
              <w:keepLines/>
              <w:spacing w:after="0" w:line="240" w:lineRule="auto"/>
              <w:jc w:val="right"/>
            </w:pPr>
            <w:r>
              <w:rPr>
                <w:sz w:val="18"/>
              </w:rPr>
              <w:t>0</w:t>
            </w:r>
          </w:p>
        </w:tc>
      </w:tr>
      <w:tr w:rsidR="00EC0600" w14:paraId="2BFD117B" w14:textId="77777777">
        <w:trPr>
          <w:cantSplit/>
          <w:trHeight w:val="560"/>
        </w:trPr>
        <w:tc>
          <w:tcPr>
            <w:tcW w:w="700" w:type="dxa"/>
            <w:tcMar>
              <w:top w:w="0" w:type="dxa"/>
              <w:bottom w:w="0" w:type="dxa"/>
            </w:tcMar>
            <w:vAlign w:val="center"/>
          </w:tcPr>
          <w:p w14:paraId="3EF8D624" w14:textId="77777777" w:rsidR="00EC0600" w:rsidRDefault="003F683D">
            <w:pPr>
              <w:keepNext/>
              <w:keepLines/>
              <w:spacing w:after="0" w:line="240" w:lineRule="auto"/>
            </w:pPr>
            <w:r>
              <w:rPr>
                <w:sz w:val="18"/>
              </w:rPr>
              <w:t>4</w:t>
            </w:r>
          </w:p>
        </w:tc>
        <w:tc>
          <w:tcPr>
            <w:tcW w:w="3180" w:type="dxa"/>
            <w:tcMar>
              <w:top w:w="0" w:type="dxa"/>
              <w:bottom w:w="0" w:type="dxa"/>
            </w:tcMar>
            <w:vAlign w:val="center"/>
          </w:tcPr>
          <w:p w14:paraId="6B3BF68C" w14:textId="77777777" w:rsidR="00EC0600" w:rsidRDefault="003F683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766E4008" w14:textId="77777777" w:rsidR="00EC0600" w:rsidRDefault="003F683D">
            <w:pPr>
              <w:keepNext/>
              <w:keepLines/>
              <w:spacing w:after="0" w:line="240" w:lineRule="auto"/>
            </w:pPr>
            <w:r>
              <w:rPr>
                <w:sz w:val="18"/>
              </w:rPr>
              <w:t>4</w:t>
            </w:r>
          </w:p>
        </w:tc>
        <w:tc>
          <w:tcPr>
            <w:tcW w:w="1860" w:type="dxa"/>
            <w:tcMar>
              <w:top w:w="0" w:type="dxa"/>
              <w:bottom w:w="0" w:type="dxa"/>
            </w:tcMar>
            <w:vAlign w:val="center"/>
          </w:tcPr>
          <w:p w14:paraId="7E9B77C0" w14:textId="77777777" w:rsidR="00EC0600" w:rsidRDefault="003F683D">
            <w:pPr>
              <w:keepNext/>
              <w:keepLines/>
              <w:spacing w:after="0" w:line="240" w:lineRule="auto"/>
              <w:jc w:val="right"/>
            </w:pPr>
            <w:r>
              <w:rPr>
                <w:sz w:val="18"/>
              </w:rPr>
              <w:t>125.286,18</w:t>
            </w:r>
          </w:p>
        </w:tc>
        <w:tc>
          <w:tcPr>
            <w:tcW w:w="1860" w:type="dxa"/>
            <w:tcMar>
              <w:top w:w="0" w:type="dxa"/>
              <w:bottom w:w="0" w:type="dxa"/>
            </w:tcMar>
            <w:vAlign w:val="center"/>
          </w:tcPr>
          <w:p w14:paraId="2D4E02E7" w14:textId="77777777" w:rsidR="00EC0600" w:rsidRDefault="003F683D">
            <w:pPr>
              <w:keepNext/>
              <w:keepLines/>
              <w:spacing w:after="0" w:line="240" w:lineRule="auto"/>
              <w:jc w:val="right"/>
            </w:pPr>
            <w:r>
              <w:rPr>
                <w:sz w:val="18"/>
              </w:rPr>
              <w:t>51.153,53</w:t>
            </w:r>
          </w:p>
        </w:tc>
        <w:tc>
          <w:tcPr>
            <w:tcW w:w="700" w:type="dxa"/>
            <w:tcMar>
              <w:top w:w="0" w:type="dxa"/>
              <w:bottom w:w="0" w:type="dxa"/>
            </w:tcMar>
            <w:vAlign w:val="center"/>
          </w:tcPr>
          <w:p w14:paraId="24D21F07" w14:textId="77777777" w:rsidR="00EC0600" w:rsidRDefault="003F683D">
            <w:pPr>
              <w:keepNext/>
              <w:keepLines/>
              <w:spacing w:after="0" w:line="240" w:lineRule="auto"/>
              <w:jc w:val="right"/>
            </w:pPr>
            <w:r>
              <w:rPr>
                <w:sz w:val="18"/>
              </w:rPr>
              <w:t>40,8</w:t>
            </w:r>
          </w:p>
        </w:tc>
      </w:tr>
      <w:tr w:rsidR="00EC0600" w14:paraId="6FF155F9" w14:textId="77777777">
        <w:trPr>
          <w:cantSplit/>
          <w:trHeight w:val="560"/>
        </w:trPr>
        <w:tc>
          <w:tcPr>
            <w:tcW w:w="700" w:type="dxa"/>
            <w:tcMar>
              <w:top w:w="0" w:type="dxa"/>
              <w:bottom w:w="0" w:type="dxa"/>
            </w:tcMar>
            <w:vAlign w:val="center"/>
          </w:tcPr>
          <w:p w14:paraId="26946F88" w14:textId="77777777" w:rsidR="00EC0600" w:rsidRDefault="00EC0600">
            <w:pPr>
              <w:keepNext/>
              <w:keepLines/>
              <w:spacing w:after="0" w:line="240" w:lineRule="auto"/>
            </w:pPr>
          </w:p>
        </w:tc>
        <w:tc>
          <w:tcPr>
            <w:tcW w:w="3180" w:type="dxa"/>
            <w:tcMar>
              <w:top w:w="0" w:type="dxa"/>
              <w:bottom w:w="0" w:type="dxa"/>
            </w:tcMar>
            <w:vAlign w:val="center"/>
          </w:tcPr>
          <w:p w14:paraId="278771B3" w14:textId="77777777" w:rsidR="00EC0600" w:rsidRDefault="003F683D">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1221A9D6" w14:textId="77777777" w:rsidR="00EC0600" w:rsidRDefault="003F683D">
            <w:pPr>
              <w:keepNext/>
              <w:keepLines/>
              <w:spacing w:after="0" w:line="240" w:lineRule="auto"/>
            </w:pPr>
            <w:r>
              <w:rPr>
                <w:b/>
                <w:sz w:val="18"/>
              </w:rPr>
              <w:t>Y002</w:t>
            </w:r>
          </w:p>
        </w:tc>
        <w:tc>
          <w:tcPr>
            <w:tcW w:w="1860" w:type="dxa"/>
            <w:tcMar>
              <w:top w:w="0" w:type="dxa"/>
              <w:bottom w:w="0" w:type="dxa"/>
            </w:tcMar>
            <w:vAlign w:val="center"/>
          </w:tcPr>
          <w:p w14:paraId="307D26FF" w14:textId="77777777" w:rsidR="00EC0600" w:rsidRDefault="003F683D">
            <w:pPr>
              <w:keepNext/>
              <w:keepLines/>
              <w:spacing w:after="0" w:line="240" w:lineRule="auto"/>
              <w:jc w:val="right"/>
            </w:pPr>
            <w:r>
              <w:rPr>
                <w:b/>
                <w:sz w:val="18"/>
              </w:rPr>
              <w:t>123.619,52</w:t>
            </w:r>
          </w:p>
        </w:tc>
        <w:tc>
          <w:tcPr>
            <w:tcW w:w="1860" w:type="dxa"/>
            <w:tcMar>
              <w:top w:w="0" w:type="dxa"/>
              <w:bottom w:w="0" w:type="dxa"/>
            </w:tcMar>
            <w:vAlign w:val="center"/>
          </w:tcPr>
          <w:p w14:paraId="4C4DDD94" w14:textId="77777777" w:rsidR="00EC0600" w:rsidRDefault="003F683D">
            <w:pPr>
              <w:keepNext/>
              <w:keepLines/>
              <w:spacing w:after="0" w:line="240" w:lineRule="auto"/>
              <w:jc w:val="right"/>
            </w:pPr>
            <w:r>
              <w:rPr>
                <w:b/>
                <w:sz w:val="18"/>
              </w:rPr>
              <w:t>51.153,53</w:t>
            </w:r>
          </w:p>
        </w:tc>
        <w:tc>
          <w:tcPr>
            <w:tcW w:w="700" w:type="dxa"/>
            <w:tcMar>
              <w:top w:w="0" w:type="dxa"/>
              <w:bottom w:w="0" w:type="dxa"/>
            </w:tcMar>
            <w:vAlign w:val="center"/>
          </w:tcPr>
          <w:p w14:paraId="623A418B" w14:textId="77777777" w:rsidR="00EC0600" w:rsidRDefault="003F683D">
            <w:pPr>
              <w:keepNext/>
              <w:keepLines/>
              <w:spacing w:after="0" w:line="240" w:lineRule="auto"/>
              <w:jc w:val="right"/>
            </w:pPr>
            <w:r>
              <w:rPr>
                <w:b/>
                <w:sz w:val="18"/>
              </w:rPr>
              <w:t>41,4</w:t>
            </w:r>
          </w:p>
        </w:tc>
      </w:tr>
      <w:tr w:rsidR="00EC0600" w14:paraId="078EBAB6" w14:textId="77777777">
        <w:trPr>
          <w:cantSplit/>
          <w:trHeight w:val="560"/>
        </w:trPr>
        <w:tc>
          <w:tcPr>
            <w:tcW w:w="700" w:type="dxa"/>
            <w:tcMar>
              <w:top w:w="0" w:type="dxa"/>
              <w:bottom w:w="0" w:type="dxa"/>
            </w:tcMar>
            <w:vAlign w:val="center"/>
          </w:tcPr>
          <w:p w14:paraId="187C218D" w14:textId="77777777" w:rsidR="00EC0600" w:rsidRDefault="003F683D">
            <w:pPr>
              <w:keepNext/>
              <w:keepLines/>
              <w:spacing w:after="0" w:line="240" w:lineRule="auto"/>
            </w:pPr>
            <w:r>
              <w:rPr>
                <w:sz w:val="18"/>
              </w:rPr>
              <w:t>8</w:t>
            </w:r>
          </w:p>
        </w:tc>
        <w:tc>
          <w:tcPr>
            <w:tcW w:w="3180" w:type="dxa"/>
            <w:tcMar>
              <w:top w:w="0" w:type="dxa"/>
              <w:bottom w:w="0" w:type="dxa"/>
            </w:tcMar>
            <w:vAlign w:val="center"/>
          </w:tcPr>
          <w:p w14:paraId="6D1FEDDE" w14:textId="77777777" w:rsidR="00EC0600" w:rsidRDefault="003F683D">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7CF56112" w14:textId="77777777" w:rsidR="00EC0600" w:rsidRDefault="003F683D">
            <w:pPr>
              <w:keepNext/>
              <w:keepLines/>
              <w:spacing w:after="0" w:line="240" w:lineRule="auto"/>
            </w:pPr>
            <w:r>
              <w:rPr>
                <w:sz w:val="18"/>
              </w:rPr>
              <w:t>8</w:t>
            </w:r>
          </w:p>
        </w:tc>
        <w:tc>
          <w:tcPr>
            <w:tcW w:w="1860" w:type="dxa"/>
            <w:tcMar>
              <w:top w:w="0" w:type="dxa"/>
              <w:bottom w:w="0" w:type="dxa"/>
            </w:tcMar>
            <w:vAlign w:val="center"/>
          </w:tcPr>
          <w:p w14:paraId="6C99E074" w14:textId="77777777" w:rsidR="00EC0600" w:rsidRDefault="003F683D">
            <w:pPr>
              <w:keepNext/>
              <w:keepLines/>
              <w:spacing w:after="0" w:line="240" w:lineRule="auto"/>
              <w:jc w:val="right"/>
            </w:pPr>
            <w:r>
              <w:rPr>
                <w:sz w:val="18"/>
              </w:rPr>
              <w:t>27.975,53</w:t>
            </w:r>
          </w:p>
        </w:tc>
        <w:tc>
          <w:tcPr>
            <w:tcW w:w="1860" w:type="dxa"/>
            <w:tcMar>
              <w:top w:w="0" w:type="dxa"/>
              <w:bottom w:w="0" w:type="dxa"/>
            </w:tcMar>
            <w:vAlign w:val="center"/>
          </w:tcPr>
          <w:p w14:paraId="6644B827" w14:textId="77777777" w:rsidR="00EC0600" w:rsidRDefault="003F683D">
            <w:pPr>
              <w:keepNext/>
              <w:keepLines/>
              <w:spacing w:after="0" w:line="240" w:lineRule="auto"/>
              <w:jc w:val="right"/>
            </w:pPr>
            <w:r>
              <w:rPr>
                <w:sz w:val="18"/>
              </w:rPr>
              <w:t>0,00</w:t>
            </w:r>
          </w:p>
        </w:tc>
        <w:tc>
          <w:tcPr>
            <w:tcW w:w="700" w:type="dxa"/>
            <w:tcMar>
              <w:top w:w="0" w:type="dxa"/>
              <w:bottom w:w="0" w:type="dxa"/>
            </w:tcMar>
            <w:vAlign w:val="center"/>
          </w:tcPr>
          <w:p w14:paraId="75598D4D" w14:textId="77777777" w:rsidR="00EC0600" w:rsidRDefault="003F683D">
            <w:pPr>
              <w:keepNext/>
              <w:keepLines/>
              <w:spacing w:after="0" w:line="240" w:lineRule="auto"/>
              <w:jc w:val="right"/>
            </w:pPr>
            <w:r>
              <w:rPr>
                <w:sz w:val="18"/>
              </w:rPr>
              <w:t>0</w:t>
            </w:r>
          </w:p>
        </w:tc>
      </w:tr>
      <w:tr w:rsidR="00EC0600" w14:paraId="29EB8F4D" w14:textId="77777777">
        <w:trPr>
          <w:cantSplit/>
          <w:trHeight w:val="560"/>
        </w:trPr>
        <w:tc>
          <w:tcPr>
            <w:tcW w:w="700" w:type="dxa"/>
            <w:tcMar>
              <w:top w:w="0" w:type="dxa"/>
              <w:bottom w:w="0" w:type="dxa"/>
            </w:tcMar>
            <w:vAlign w:val="center"/>
          </w:tcPr>
          <w:p w14:paraId="099D95C9" w14:textId="77777777" w:rsidR="00EC0600" w:rsidRDefault="003F683D">
            <w:pPr>
              <w:keepNext/>
              <w:keepLines/>
              <w:spacing w:after="0" w:line="240" w:lineRule="auto"/>
            </w:pPr>
            <w:r>
              <w:rPr>
                <w:sz w:val="18"/>
              </w:rPr>
              <w:t>5</w:t>
            </w:r>
          </w:p>
        </w:tc>
        <w:tc>
          <w:tcPr>
            <w:tcW w:w="3180" w:type="dxa"/>
            <w:tcMar>
              <w:top w:w="0" w:type="dxa"/>
              <w:bottom w:w="0" w:type="dxa"/>
            </w:tcMar>
            <w:vAlign w:val="center"/>
          </w:tcPr>
          <w:p w14:paraId="7D88064D" w14:textId="77777777" w:rsidR="00EC0600" w:rsidRDefault="003F683D">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666A059" w14:textId="77777777" w:rsidR="00EC0600" w:rsidRDefault="003F683D">
            <w:pPr>
              <w:keepNext/>
              <w:keepLines/>
              <w:spacing w:after="0" w:line="240" w:lineRule="auto"/>
            </w:pPr>
            <w:r>
              <w:rPr>
                <w:sz w:val="18"/>
              </w:rPr>
              <w:t>5</w:t>
            </w:r>
          </w:p>
        </w:tc>
        <w:tc>
          <w:tcPr>
            <w:tcW w:w="1860" w:type="dxa"/>
            <w:tcMar>
              <w:top w:w="0" w:type="dxa"/>
              <w:bottom w:w="0" w:type="dxa"/>
            </w:tcMar>
            <w:vAlign w:val="center"/>
          </w:tcPr>
          <w:p w14:paraId="0A225139" w14:textId="77777777" w:rsidR="00EC0600" w:rsidRDefault="003F683D">
            <w:pPr>
              <w:keepNext/>
              <w:keepLines/>
              <w:spacing w:after="0" w:line="240" w:lineRule="auto"/>
              <w:jc w:val="right"/>
            </w:pPr>
            <w:r>
              <w:rPr>
                <w:sz w:val="18"/>
              </w:rPr>
              <w:t>0,00</w:t>
            </w:r>
          </w:p>
        </w:tc>
        <w:tc>
          <w:tcPr>
            <w:tcW w:w="1860" w:type="dxa"/>
            <w:tcMar>
              <w:top w:w="0" w:type="dxa"/>
              <w:bottom w:w="0" w:type="dxa"/>
            </w:tcMar>
            <w:vAlign w:val="center"/>
          </w:tcPr>
          <w:p w14:paraId="6192B7D8" w14:textId="77777777" w:rsidR="00EC0600" w:rsidRDefault="003F683D">
            <w:pPr>
              <w:keepNext/>
              <w:keepLines/>
              <w:spacing w:after="0" w:line="240" w:lineRule="auto"/>
              <w:jc w:val="right"/>
            </w:pPr>
            <w:r>
              <w:rPr>
                <w:sz w:val="18"/>
              </w:rPr>
              <w:t>8.745,69</w:t>
            </w:r>
          </w:p>
        </w:tc>
        <w:tc>
          <w:tcPr>
            <w:tcW w:w="700" w:type="dxa"/>
            <w:tcMar>
              <w:top w:w="0" w:type="dxa"/>
              <w:bottom w:w="0" w:type="dxa"/>
            </w:tcMar>
            <w:vAlign w:val="center"/>
          </w:tcPr>
          <w:p w14:paraId="54A3C5E4" w14:textId="77777777" w:rsidR="00EC0600" w:rsidRDefault="003F683D">
            <w:pPr>
              <w:keepNext/>
              <w:keepLines/>
              <w:spacing w:after="0" w:line="240" w:lineRule="auto"/>
              <w:jc w:val="right"/>
            </w:pPr>
            <w:r>
              <w:rPr>
                <w:sz w:val="18"/>
              </w:rPr>
              <w:t>-</w:t>
            </w:r>
          </w:p>
        </w:tc>
      </w:tr>
      <w:tr w:rsidR="00EC0600" w14:paraId="264BB9C1" w14:textId="77777777">
        <w:trPr>
          <w:cantSplit/>
          <w:trHeight w:val="560"/>
        </w:trPr>
        <w:tc>
          <w:tcPr>
            <w:tcW w:w="700" w:type="dxa"/>
            <w:tcMar>
              <w:top w:w="0" w:type="dxa"/>
              <w:bottom w:w="0" w:type="dxa"/>
            </w:tcMar>
            <w:vAlign w:val="center"/>
          </w:tcPr>
          <w:p w14:paraId="4CE53DC9" w14:textId="77777777" w:rsidR="00EC0600" w:rsidRDefault="00EC0600">
            <w:pPr>
              <w:keepNext/>
              <w:keepLines/>
              <w:spacing w:after="0" w:line="240" w:lineRule="auto"/>
            </w:pPr>
          </w:p>
        </w:tc>
        <w:tc>
          <w:tcPr>
            <w:tcW w:w="3180" w:type="dxa"/>
            <w:tcMar>
              <w:top w:w="0" w:type="dxa"/>
              <w:bottom w:w="0" w:type="dxa"/>
            </w:tcMar>
            <w:vAlign w:val="center"/>
          </w:tcPr>
          <w:p w14:paraId="1180266F" w14:textId="77777777" w:rsidR="00EC0600" w:rsidRDefault="003F683D">
            <w:pPr>
              <w:keepNext/>
              <w:keepLines/>
              <w:spacing w:after="0" w:line="240" w:lineRule="auto"/>
            </w:pPr>
            <w:r>
              <w:rPr>
                <w:b/>
                <w:sz w:val="18"/>
              </w:rPr>
              <w:t>MANJAK PRIMITAKA OD FINANCIJSKE IMOVINE I ZADUŽIVANJA (šifre 5-8)</w:t>
            </w:r>
          </w:p>
        </w:tc>
        <w:tc>
          <w:tcPr>
            <w:tcW w:w="700" w:type="dxa"/>
            <w:tcMar>
              <w:top w:w="0" w:type="dxa"/>
              <w:bottom w:w="0" w:type="dxa"/>
            </w:tcMar>
            <w:vAlign w:val="center"/>
          </w:tcPr>
          <w:p w14:paraId="7C4F1EB4" w14:textId="77777777" w:rsidR="00EC0600" w:rsidRDefault="003F683D">
            <w:pPr>
              <w:keepNext/>
              <w:keepLines/>
              <w:spacing w:after="0" w:line="240" w:lineRule="auto"/>
            </w:pPr>
            <w:r>
              <w:rPr>
                <w:b/>
                <w:sz w:val="18"/>
              </w:rPr>
              <w:t>Y003</w:t>
            </w:r>
          </w:p>
        </w:tc>
        <w:tc>
          <w:tcPr>
            <w:tcW w:w="1860" w:type="dxa"/>
            <w:tcMar>
              <w:top w:w="0" w:type="dxa"/>
              <w:bottom w:w="0" w:type="dxa"/>
            </w:tcMar>
            <w:vAlign w:val="center"/>
          </w:tcPr>
          <w:p w14:paraId="0259C9F1" w14:textId="77777777" w:rsidR="00EC0600" w:rsidRDefault="003F683D">
            <w:pPr>
              <w:keepNext/>
              <w:keepLines/>
              <w:spacing w:after="0" w:line="240" w:lineRule="auto"/>
              <w:jc w:val="right"/>
            </w:pPr>
            <w:r>
              <w:rPr>
                <w:b/>
                <w:sz w:val="18"/>
              </w:rPr>
              <w:t>0,00</w:t>
            </w:r>
          </w:p>
        </w:tc>
        <w:tc>
          <w:tcPr>
            <w:tcW w:w="1860" w:type="dxa"/>
            <w:tcMar>
              <w:top w:w="0" w:type="dxa"/>
              <w:bottom w:w="0" w:type="dxa"/>
            </w:tcMar>
            <w:vAlign w:val="center"/>
          </w:tcPr>
          <w:p w14:paraId="49A4E16A" w14:textId="77777777" w:rsidR="00EC0600" w:rsidRDefault="003F683D">
            <w:pPr>
              <w:keepNext/>
              <w:keepLines/>
              <w:spacing w:after="0" w:line="240" w:lineRule="auto"/>
              <w:jc w:val="right"/>
            </w:pPr>
            <w:r>
              <w:rPr>
                <w:b/>
                <w:sz w:val="18"/>
              </w:rPr>
              <w:t>8.745,69</w:t>
            </w:r>
          </w:p>
        </w:tc>
        <w:tc>
          <w:tcPr>
            <w:tcW w:w="700" w:type="dxa"/>
            <w:tcMar>
              <w:top w:w="0" w:type="dxa"/>
              <w:bottom w:w="0" w:type="dxa"/>
            </w:tcMar>
            <w:vAlign w:val="center"/>
          </w:tcPr>
          <w:p w14:paraId="5568888F" w14:textId="77777777" w:rsidR="00EC0600" w:rsidRDefault="003F683D">
            <w:pPr>
              <w:keepNext/>
              <w:keepLines/>
              <w:spacing w:after="0" w:line="240" w:lineRule="auto"/>
              <w:jc w:val="right"/>
            </w:pPr>
            <w:r>
              <w:rPr>
                <w:b/>
                <w:sz w:val="18"/>
              </w:rPr>
              <w:t>-</w:t>
            </w:r>
          </w:p>
        </w:tc>
      </w:tr>
      <w:tr w:rsidR="00EC0600" w14:paraId="1789C5C0" w14:textId="77777777">
        <w:trPr>
          <w:cantSplit/>
          <w:trHeight w:val="560"/>
        </w:trPr>
        <w:tc>
          <w:tcPr>
            <w:tcW w:w="700" w:type="dxa"/>
            <w:tcMar>
              <w:top w:w="0" w:type="dxa"/>
              <w:bottom w:w="0" w:type="dxa"/>
            </w:tcMar>
            <w:vAlign w:val="center"/>
          </w:tcPr>
          <w:p w14:paraId="4221F8DB" w14:textId="77777777" w:rsidR="00EC0600" w:rsidRDefault="00EC0600">
            <w:pPr>
              <w:keepNext/>
              <w:keepLines/>
              <w:spacing w:after="0" w:line="240" w:lineRule="auto"/>
            </w:pPr>
          </w:p>
        </w:tc>
        <w:tc>
          <w:tcPr>
            <w:tcW w:w="3180" w:type="dxa"/>
            <w:tcMar>
              <w:top w:w="0" w:type="dxa"/>
              <w:bottom w:w="0" w:type="dxa"/>
            </w:tcMar>
            <w:vAlign w:val="center"/>
          </w:tcPr>
          <w:p w14:paraId="2C54B7EF" w14:textId="77777777" w:rsidR="00EC0600" w:rsidRDefault="003F683D">
            <w:pPr>
              <w:keepNext/>
              <w:keepLines/>
              <w:spacing w:after="0" w:line="240" w:lineRule="auto"/>
            </w:pPr>
            <w:r>
              <w:rPr>
                <w:b/>
                <w:sz w:val="18"/>
              </w:rPr>
              <w:t>VIŠAK PRIHODA I PRIMITAKA (šifre X678-Y345)</w:t>
            </w:r>
          </w:p>
        </w:tc>
        <w:tc>
          <w:tcPr>
            <w:tcW w:w="700" w:type="dxa"/>
            <w:tcMar>
              <w:top w:w="0" w:type="dxa"/>
              <w:bottom w:w="0" w:type="dxa"/>
            </w:tcMar>
            <w:vAlign w:val="center"/>
          </w:tcPr>
          <w:p w14:paraId="49212583" w14:textId="77777777" w:rsidR="00EC0600" w:rsidRDefault="003F683D">
            <w:pPr>
              <w:keepNext/>
              <w:keepLines/>
              <w:spacing w:after="0" w:line="240" w:lineRule="auto"/>
            </w:pPr>
            <w:r>
              <w:rPr>
                <w:b/>
                <w:sz w:val="18"/>
              </w:rPr>
              <w:t>X005</w:t>
            </w:r>
          </w:p>
        </w:tc>
        <w:tc>
          <w:tcPr>
            <w:tcW w:w="1860" w:type="dxa"/>
            <w:tcMar>
              <w:top w:w="0" w:type="dxa"/>
              <w:bottom w:w="0" w:type="dxa"/>
            </w:tcMar>
            <w:vAlign w:val="center"/>
          </w:tcPr>
          <w:p w14:paraId="17A8FCB1" w14:textId="77777777" w:rsidR="00EC0600" w:rsidRDefault="003F683D">
            <w:pPr>
              <w:keepNext/>
              <w:keepLines/>
              <w:spacing w:after="0" w:line="240" w:lineRule="auto"/>
              <w:jc w:val="right"/>
            </w:pPr>
            <w:r>
              <w:rPr>
                <w:b/>
                <w:sz w:val="18"/>
              </w:rPr>
              <w:t>6.808,99</w:t>
            </w:r>
          </w:p>
        </w:tc>
        <w:tc>
          <w:tcPr>
            <w:tcW w:w="1860" w:type="dxa"/>
            <w:tcMar>
              <w:top w:w="0" w:type="dxa"/>
              <w:bottom w:w="0" w:type="dxa"/>
            </w:tcMar>
            <w:vAlign w:val="center"/>
          </w:tcPr>
          <w:p w14:paraId="48F2CD92" w14:textId="77777777" w:rsidR="00EC0600" w:rsidRDefault="003F683D">
            <w:pPr>
              <w:keepNext/>
              <w:keepLines/>
              <w:spacing w:after="0" w:line="240" w:lineRule="auto"/>
              <w:jc w:val="right"/>
            </w:pPr>
            <w:r>
              <w:rPr>
                <w:b/>
                <w:sz w:val="18"/>
              </w:rPr>
              <w:t>73.888,22</w:t>
            </w:r>
          </w:p>
        </w:tc>
        <w:tc>
          <w:tcPr>
            <w:tcW w:w="700" w:type="dxa"/>
            <w:tcMar>
              <w:top w:w="0" w:type="dxa"/>
              <w:bottom w:w="0" w:type="dxa"/>
            </w:tcMar>
            <w:vAlign w:val="center"/>
          </w:tcPr>
          <w:p w14:paraId="25C52784" w14:textId="77777777" w:rsidR="00EC0600" w:rsidRDefault="003F683D">
            <w:pPr>
              <w:keepNext/>
              <w:keepLines/>
              <w:spacing w:after="0" w:line="240" w:lineRule="auto"/>
              <w:jc w:val="right"/>
            </w:pPr>
            <w:r>
              <w:rPr>
                <w:b/>
                <w:sz w:val="18"/>
              </w:rPr>
              <w:t>1085,2</w:t>
            </w:r>
          </w:p>
        </w:tc>
      </w:tr>
    </w:tbl>
    <w:p w14:paraId="1B742594" w14:textId="77777777" w:rsidR="00EC0600" w:rsidRDefault="00EC0600">
      <w:pPr>
        <w:spacing w:after="0"/>
      </w:pPr>
    </w:p>
    <w:p w14:paraId="0D286082" w14:textId="736C5FA2" w:rsidR="00EC0600" w:rsidRDefault="003F683D" w:rsidP="003F683D">
      <w:pPr>
        <w:jc w:val="both"/>
      </w:pPr>
      <w:r>
        <w:t xml:space="preserve">Ukupni prihodi poslovanja u izvještajnom razdoblju iznose 3.544.527,60 EUR i bilježe rast od 22,20% u odnosu na isto izvještajno razdoblje prošle godine. Najveći udio imaju prihodi od nadležnog Ministarstva u iznosu od 2.041.890,85 EUR i odnose se na plaće i materijalna prava zaposlenih, te materijalne troškove poslovanja. Značajan udio u prihodima čine pomoći iz inozemstva i od subjekata unutar općeg proračuna u iznosu od 842.874,22 EUR, što predstavlja povećanje za 42,3% u odnosu na  2024.godinu. Većinu ovih prihoda čine prijenosi sredstava po EU projektima iz programa Erasmus + i Programa prekogranične suradnje Italija-Hrvatska </w:t>
      </w:r>
      <w:r>
        <w:lastRenderedPageBreak/>
        <w:t>2021-2027. Dodatno, Veleučilište bilježi rast prihoda od prodaje proizvoda i robe, te pruženih usluga kao i rast prihoda po posebnim propisima, što je rezultat veće angažiranosti na tržištu, kao i većeg broja upisanih studenata u akademskoj godini 2025/2026.  Najznačajnije povećanje rashoda evidentirano je na rashodima za zaposlene uslijed povećanja plaća, te na rashodima za intelektualne i osobne usluge zbog povećanog broja vanjskih suradnika potrebnih za održavanje nastave, osobito na stručnom prijediplomskom studiju Sestrinstva. U navedenom razdoblju nema ostvarenih prihoda od prodaje nefinancijske imovine, dok su rashodi za nabavu nefinancijske imovine ostvareni u 51.153,53 EUR. Navedeni rashod se odnosi na renoviranje i opremanje dviju predavaonica. U prosincu 2024. nabavljen je osobni automobil putem Ugovora o financijskom leasingu vrijednosti 27.975,53 EUR-a, te se manjak od 8.745,69 EUR odnosi na otplatu glavnice za isti. U razdoblju od 01.siječnja do 31.prosinca 2025. godine ostvaren je višak prihoda poslovanja od 133.787,84 EUR, manjak prihoda od nefinancijske imovine u iznosu od 51.153,53 EUR, te manjak od financijske imovine od 8.745,69 EUR, slijedom čega je na kraju izvještajnog razdoblja ostvaren višak prihoda i primitaka u iznosu od 73.888,22 EUR.</w:t>
      </w:r>
      <w:r>
        <w:br/>
      </w:r>
    </w:p>
    <w:p w14:paraId="610B18BE" w14:textId="77777777" w:rsidR="00EC0600" w:rsidRDefault="003F683D">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261AA045" w14:textId="77777777">
        <w:trPr>
          <w:cantSplit/>
        </w:trPr>
        <w:tc>
          <w:tcPr>
            <w:tcW w:w="700" w:type="dxa"/>
            <w:shd w:val="clear" w:color="auto" w:fill="E7F0F9"/>
            <w:tcMar>
              <w:top w:w="0" w:type="dxa"/>
              <w:bottom w:w="0" w:type="dxa"/>
            </w:tcMar>
            <w:vAlign w:val="center"/>
          </w:tcPr>
          <w:p w14:paraId="01C10FBD"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85698C"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2F204A"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5F68E19"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EB63F67"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0AB48F4" w14:textId="77777777" w:rsidR="00EC0600" w:rsidRDefault="003F683D">
            <w:pPr>
              <w:keepNext/>
              <w:keepLines/>
              <w:spacing w:after="0" w:line="240" w:lineRule="auto"/>
              <w:jc w:val="center"/>
            </w:pPr>
            <w:r>
              <w:rPr>
                <w:b/>
                <w:sz w:val="18"/>
              </w:rPr>
              <w:t>Indeks (%)</w:t>
            </w:r>
          </w:p>
        </w:tc>
      </w:tr>
      <w:tr w:rsidR="00EC0600" w14:paraId="1116706D" w14:textId="77777777">
        <w:trPr>
          <w:cantSplit/>
          <w:trHeight w:val="560"/>
        </w:trPr>
        <w:tc>
          <w:tcPr>
            <w:tcW w:w="700" w:type="dxa"/>
            <w:tcMar>
              <w:top w:w="0" w:type="dxa"/>
              <w:bottom w:w="0" w:type="dxa"/>
            </w:tcMar>
            <w:vAlign w:val="center"/>
          </w:tcPr>
          <w:p w14:paraId="6683328F" w14:textId="77777777" w:rsidR="00EC0600" w:rsidRDefault="003F683D">
            <w:pPr>
              <w:keepNext/>
              <w:keepLines/>
              <w:spacing w:after="0" w:line="240" w:lineRule="auto"/>
            </w:pPr>
            <w:r>
              <w:rPr>
                <w:sz w:val="18"/>
              </w:rPr>
              <w:t>6</w:t>
            </w:r>
          </w:p>
        </w:tc>
        <w:tc>
          <w:tcPr>
            <w:tcW w:w="3180" w:type="dxa"/>
            <w:tcMar>
              <w:top w:w="0" w:type="dxa"/>
              <w:bottom w:w="0" w:type="dxa"/>
            </w:tcMar>
            <w:vAlign w:val="center"/>
          </w:tcPr>
          <w:p w14:paraId="52377A54" w14:textId="77777777" w:rsidR="00EC0600" w:rsidRDefault="003F683D">
            <w:pPr>
              <w:keepNext/>
              <w:keepLines/>
              <w:spacing w:after="0" w:line="240" w:lineRule="auto"/>
            </w:pPr>
            <w:r>
              <w:rPr>
                <w:sz w:val="18"/>
              </w:rPr>
              <w:t>PRIHODI POSLOVANJA (šifre 61+62+63+64+65+66+67+68)</w:t>
            </w:r>
          </w:p>
        </w:tc>
        <w:tc>
          <w:tcPr>
            <w:tcW w:w="700" w:type="dxa"/>
            <w:tcMar>
              <w:top w:w="0" w:type="dxa"/>
              <w:bottom w:w="0" w:type="dxa"/>
            </w:tcMar>
            <w:vAlign w:val="center"/>
          </w:tcPr>
          <w:p w14:paraId="355CD550" w14:textId="77777777" w:rsidR="00EC0600" w:rsidRDefault="003F683D">
            <w:pPr>
              <w:keepNext/>
              <w:keepLines/>
              <w:spacing w:after="0" w:line="240" w:lineRule="auto"/>
            </w:pPr>
            <w:r>
              <w:rPr>
                <w:sz w:val="18"/>
              </w:rPr>
              <w:t>6</w:t>
            </w:r>
          </w:p>
        </w:tc>
        <w:tc>
          <w:tcPr>
            <w:tcW w:w="1860" w:type="dxa"/>
            <w:tcMar>
              <w:top w:w="0" w:type="dxa"/>
              <w:bottom w:w="0" w:type="dxa"/>
            </w:tcMar>
            <w:vAlign w:val="center"/>
          </w:tcPr>
          <w:p w14:paraId="45702E03" w14:textId="77777777" w:rsidR="00EC0600" w:rsidRDefault="003F683D">
            <w:pPr>
              <w:keepNext/>
              <w:keepLines/>
              <w:spacing w:after="0" w:line="240" w:lineRule="auto"/>
              <w:jc w:val="right"/>
            </w:pPr>
            <w:r>
              <w:rPr>
                <w:sz w:val="18"/>
              </w:rPr>
              <w:t>2.901.329,93</w:t>
            </w:r>
          </w:p>
        </w:tc>
        <w:tc>
          <w:tcPr>
            <w:tcW w:w="1860" w:type="dxa"/>
            <w:tcMar>
              <w:top w:w="0" w:type="dxa"/>
              <w:bottom w:w="0" w:type="dxa"/>
            </w:tcMar>
            <w:vAlign w:val="center"/>
          </w:tcPr>
          <w:p w14:paraId="7BA1FBA8" w14:textId="77777777" w:rsidR="00EC0600" w:rsidRDefault="003F683D">
            <w:pPr>
              <w:keepNext/>
              <w:keepLines/>
              <w:spacing w:after="0" w:line="240" w:lineRule="auto"/>
              <w:jc w:val="right"/>
            </w:pPr>
            <w:r>
              <w:rPr>
                <w:sz w:val="18"/>
              </w:rPr>
              <w:t>3.544.527,60</w:t>
            </w:r>
          </w:p>
        </w:tc>
        <w:tc>
          <w:tcPr>
            <w:tcW w:w="700" w:type="dxa"/>
            <w:tcMar>
              <w:top w:w="0" w:type="dxa"/>
              <w:bottom w:w="0" w:type="dxa"/>
            </w:tcMar>
            <w:vAlign w:val="center"/>
          </w:tcPr>
          <w:p w14:paraId="104062AE" w14:textId="77777777" w:rsidR="00EC0600" w:rsidRDefault="003F683D">
            <w:pPr>
              <w:keepNext/>
              <w:keepLines/>
              <w:spacing w:after="0" w:line="240" w:lineRule="auto"/>
              <w:jc w:val="right"/>
            </w:pPr>
            <w:r>
              <w:rPr>
                <w:sz w:val="18"/>
              </w:rPr>
              <w:t>122,2</w:t>
            </w:r>
          </w:p>
        </w:tc>
      </w:tr>
    </w:tbl>
    <w:p w14:paraId="24E3B674" w14:textId="77777777" w:rsidR="00EC0600" w:rsidRDefault="00EC0600">
      <w:pPr>
        <w:spacing w:after="0"/>
      </w:pPr>
    </w:p>
    <w:p w14:paraId="4EDB441A" w14:textId="77777777" w:rsidR="00EC0600" w:rsidRDefault="003F683D">
      <w:r>
        <w:t>Iskazani prihodi odnose se na:</w:t>
      </w:r>
    </w:p>
    <w:p w14:paraId="4CD0699E" w14:textId="77777777" w:rsidR="00EC0600" w:rsidRDefault="003F683D">
      <w:r>
        <w:t> </w:t>
      </w:r>
    </w:p>
    <w:tbl>
      <w:tblPr>
        <w:tblStyle w:val="TableGrid"/>
        <w:tblW w:w="4625" w:type="pct"/>
        <w:tblLook w:val="04A0" w:firstRow="1" w:lastRow="0" w:firstColumn="1" w:lastColumn="0" w:noHBand="0" w:noVBand="1"/>
      </w:tblPr>
      <w:tblGrid>
        <w:gridCol w:w="2095"/>
        <w:gridCol w:w="2095"/>
        <w:gridCol w:w="2096"/>
        <w:gridCol w:w="2096"/>
      </w:tblGrid>
      <w:tr w:rsidR="00EC0600" w14:paraId="781694CD" w14:textId="77777777">
        <w:trPr>
          <w:trHeight w:val="542"/>
        </w:trPr>
        <w:tc>
          <w:tcPr>
            <w:tcW w:w="1250" w:type="pct"/>
            <w:vAlign w:val="center"/>
          </w:tcPr>
          <w:p w14:paraId="7270B9DF" w14:textId="77777777" w:rsidR="00EC0600" w:rsidRDefault="003F683D">
            <w:r>
              <w:rPr>
                <w:b/>
              </w:rPr>
              <w:t>Opis</w:t>
            </w:r>
          </w:p>
        </w:tc>
        <w:tc>
          <w:tcPr>
            <w:tcW w:w="1250" w:type="pct"/>
            <w:vAlign w:val="center"/>
          </w:tcPr>
          <w:p w14:paraId="69979A4B" w14:textId="77777777" w:rsidR="00EC0600" w:rsidRDefault="003F683D">
            <w:r>
              <w:rPr>
                <w:b/>
              </w:rPr>
              <w:t>2024.g.</w:t>
            </w:r>
          </w:p>
        </w:tc>
        <w:tc>
          <w:tcPr>
            <w:tcW w:w="1250" w:type="pct"/>
            <w:vAlign w:val="center"/>
          </w:tcPr>
          <w:p w14:paraId="780719DE" w14:textId="77777777" w:rsidR="00EC0600" w:rsidRDefault="003F683D">
            <w:r>
              <w:rPr>
                <w:b/>
              </w:rPr>
              <w:t>2025.g.</w:t>
            </w:r>
          </w:p>
        </w:tc>
        <w:tc>
          <w:tcPr>
            <w:tcW w:w="1250" w:type="pct"/>
            <w:vAlign w:val="center"/>
          </w:tcPr>
          <w:p w14:paraId="437845B2" w14:textId="77777777" w:rsidR="00EC0600" w:rsidRDefault="003F683D">
            <w:r>
              <w:rPr>
                <w:b/>
              </w:rPr>
              <w:t>Indeks</w:t>
            </w:r>
          </w:p>
        </w:tc>
      </w:tr>
      <w:tr w:rsidR="00EC0600" w14:paraId="346E2B35" w14:textId="77777777">
        <w:trPr>
          <w:trHeight w:val="878"/>
        </w:trPr>
        <w:tc>
          <w:tcPr>
            <w:tcW w:w="1250" w:type="pct"/>
            <w:vAlign w:val="center"/>
          </w:tcPr>
          <w:p w14:paraId="15578632" w14:textId="77777777" w:rsidR="00EC0600" w:rsidRDefault="003F683D">
            <w:r>
              <w:t>Prihodi iz inozemstva i od subjekata unutar općeg proračuna</w:t>
            </w:r>
          </w:p>
        </w:tc>
        <w:tc>
          <w:tcPr>
            <w:tcW w:w="1250" w:type="pct"/>
            <w:vAlign w:val="center"/>
          </w:tcPr>
          <w:p w14:paraId="59C3DA3E" w14:textId="77777777" w:rsidR="00EC0600" w:rsidRDefault="003F683D">
            <w:r>
              <w:t>592.383,40</w:t>
            </w:r>
          </w:p>
        </w:tc>
        <w:tc>
          <w:tcPr>
            <w:tcW w:w="1250" w:type="pct"/>
            <w:vAlign w:val="center"/>
          </w:tcPr>
          <w:p w14:paraId="49987190" w14:textId="77777777" w:rsidR="00EC0600" w:rsidRDefault="003F683D">
            <w:r>
              <w:t>842.874,22</w:t>
            </w:r>
          </w:p>
        </w:tc>
        <w:tc>
          <w:tcPr>
            <w:tcW w:w="1250" w:type="pct"/>
            <w:vAlign w:val="center"/>
          </w:tcPr>
          <w:p w14:paraId="78497082" w14:textId="77777777" w:rsidR="00EC0600" w:rsidRDefault="003F683D">
            <w:r>
              <w:t>142,3</w:t>
            </w:r>
          </w:p>
        </w:tc>
      </w:tr>
      <w:tr w:rsidR="00EC0600" w14:paraId="6A89653B" w14:textId="77777777">
        <w:trPr>
          <w:trHeight w:val="542"/>
        </w:trPr>
        <w:tc>
          <w:tcPr>
            <w:tcW w:w="1250" w:type="pct"/>
            <w:vAlign w:val="center"/>
          </w:tcPr>
          <w:p w14:paraId="017C4D06" w14:textId="77777777" w:rsidR="00EC0600" w:rsidRDefault="003F683D">
            <w:r>
              <w:t>Prihodi od imovine</w:t>
            </w:r>
          </w:p>
        </w:tc>
        <w:tc>
          <w:tcPr>
            <w:tcW w:w="1250" w:type="pct"/>
            <w:vAlign w:val="center"/>
          </w:tcPr>
          <w:p w14:paraId="18A39E92" w14:textId="77777777" w:rsidR="00EC0600" w:rsidRDefault="003F683D">
            <w:r>
              <w:t>1,55</w:t>
            </w:r>
          </w:p>
        </w:tc>
        <w:tc>
          <w:tcPr>
            <w:tcW w:w="1250" w:type="pct"/>
            <w:vAlign w:val="center"/>
          </w:tcPr>
          <w:p w14:paraId="58071424" w14:textId="77777777" w:rsidR="00EC0600" w:rsidRDefault="003F683D">
            <w:r>
              <w:t>3,31</w:t>
            </w:r>
          </w:p>
        </w:tc>
        <w:tc>
          <w:tcPr>
            <w:tcW w:w="1250" w:type="pct"/>
            <w:vAlign w:val="center"/>
          </w:tcPr>
          <w:p w14:paraId="229C8AE6" w14:textId="77777777" w:rsidR="00EC0600" w:rsidRDefault="003F683D">
            <w:r>
              <w:t>213,5</w:t>
            </w:r>
          </w:p>
        </w:tc>
      </w:tr>
      <w:tr w:rsidR="00EC0600" w14:paraId="0F809032" w14:textId="77777777">
        <w:trPr>
          <w:trHeight w:val="542"/>
        </w:trPr>
        <w:tc>
          <w:tcPr>
            <w:tcW w:w="1250" w:type="pct"/>
            <w:vAlign w:val="center"/>
          </w:tcPr>
          <w:p w14:paraId="33FD73CF" w14:textId="77777777" w:rsidR="00EC0600" w:rsidRDefault="003F683D">
            <w:r>
              <w:t>Prihodi po posebnim propisima</w:t>
            </w:r>
          </w:p>
        </w:tc>
        <w:tc>
          <w:tcPr>
            <w:tcW w:w="1250" w:type="pct"/>
            <w:vAlign w:val="center"/>
          </w:tcPr>
          <w:p w14:paraId="1D508AD7" w14:textId="77777777" w:rsidR="00EC0600" w:rsidRDefault="003F683D">
            <w:r>
              <w:t>343.889,03</w:t>
            </w:r>
          </w:p>
        </w:tc>
        <w:tc>
          <w:tcPr>
            <w:tcW w:w="1250" w:type="pct"/>
            <w:vAlign w:val="center"/>
          </w:tcPr>
          <w:p w14:paraId="35EB2E40" w14:textId="77777777" w:rsidR="00EC0600" w:rsidRDefault="003F683D">
            <w:r>
              <w:t>485.561,65</w:t>
            </w:r>
          </w:p>
        </w:tc>
        <w:tc>
          <w:tcPr>
            <w:tcW w:w="1250" w:type="pct"/>
            <w:vAlign w:val="center"/>
          </w:tcPr>
          <w:p w14:paraId="1A5A266B" w14:textId="77777777" w:rsidR="00EC0600" w:rsidRDefault="003F683D">
            <w:r>
              <w:t>141,2</w:t>
            </w:r>
          </w:p>
        </w:tc>
      </w:tr>
      <w:tr w:rsidR="00EC0600" w14:paraId="4DA187D8" w14:textId="77777777">
        <w:trPr>
          <w:trHeight w:val="878"/>
        </w:trPr>
        <w:tc>
          <w:tcPr>
            <w:tcW w:w="1250" w:type="pct"/>
            <w:vAlign w:val="center"/>
          </w:tcPr>
          <w:p w14:paraId="52287FEA" w14:textId="77777777" w:rsidR="00EC0600" w:rsidRDefault="003F683D">
            <w:r>
              <w:t>Prihodi od pruženih usluga i donacija</w:t>
            </w:r>
          </w:p>
        </w:tc>
        <w:tc>
          <w:tcPr>
            <w:tcW w:w="1250" w:type="pct"/>
            <w:vAlign w:val="center"/>
          </w:tcPr>
          <w:p w14:paraId="76C02539" w14:textId="77777777" w:rsidR="00EC0600" w:rsidRDefault="003F683D">
            <w:r>
              <w:t>118.121,96</w:t>
            </w:r>
          </w:p>
        </w:tc>
        <w:tc>
          <w:tcPr>
            <w:tcW w:w="1250" w:type="pct"/>
            <w:vAlign w:val="center"/>
          </w:tcPr>
          <w:p w14:paraId="4460E727" w14:textId="77777777" w:rsidR="00EC0600" w:rsidRDefault="003F683D">
            <w:r>
              <w:t>167.806,94</w:t>
            </w:r>
          </w:p>
        </w:tc>
        <w:tc>
          <w:tcPr>
            <w:tcW w:w="1250" w:type="pct"/>
            <w:vAlign w:val="center"/>
          </w:tcPr>
          <w:p w14:paraId="5490AF4A" w14:textId="77777777" w:rsidR="00EC0600" w:rsidRDefault="003F683D">
            <w:r>
              <w:t>142,10</w:t>
            </w:r>
          </w:p>
        </w:tc>
      </w:tr>
      <w:tr w:rsidR="00EC0600" w14:paraId="67552347" w14:textId="77777777">
        <w:trPr>
          <w:trHeight w:val="542"/>
        </w:trPr>
        <w:tc>
          <w:tcPr>
            <w:tcW w:w="1250" w:type="pct"/>
            <w:vAlign w:val="center"/>
          </w:tcPr>
          <w:p w14:paraId="48E53AC4" w14:textId="77777777" w:rsidR="00EC0600" w:rsidRDefault="003F683D">
            <w:r>
              <w:t>Prihodi iz nadležnog proračuna</w:t>
            </w:r>
          </w:p>
        </w:tc>
        <w:tc>
          <w:tcPr>
            <w:tcW w:w="1250" w:type="pct"/>
            <w:vAlign w:val="center"/>
          </w:tcPr>
          <w:p w14:paraId="1D0C4E1E" w14:textId="77777777" w:rsidR="00EC0600" w:rsidRDefault="003F683D">
            <w:r>
              <w:t>1.845.865,08</w:t>
            </w:r>
          </w:p>
        </w:tc>
        <w:tc>
          <w:tcPr>
            <w:tcW w:w="1250" w:type="pct"/>
            <w:vAlign w:val="center"/>
          </w:tcPr>
          <w:p w14:paraId="7C1D915D" w14:textId="77777777" w:rsidR="00EC0600" w:rsidRDefault="003F683D">
            <w:r>
              <w:t>2.041.890,85</w:t>
            </w:r>
          </w:p>
        </w:tc>
        <w:tc>
          <w:tcPr>
            <w:tcW w:w="1250" w:type="pct"/>
            <w:vAlign w:val="center"/>
          </w:tcPr>
          <w:p w14:paraId="155E8D08" w14:textId="77777777" w:rsidR="00EC0600" w:rsidRDefault="003F683D">
            <w:r>
              <w:t>110,6</w:t>
            </w:r>
          </w:p>
        </w:tc>
      </w:tr>
      <w:tr w:rsidR="00EC0600" w14:paraId="759791F0" w14:textId="77777777">
        <w:trPr>
          <w:trHeight w:val="542"/>
        </w:trPr>
        <w:tc>
          <w:tcPr>
            <w:tcW w:w="1250" w:type="pct"/>
            <w:vAlign w:val="center"/>
          </w:tcPr>
          <w:p w14:paraId="48373D8C" w14:textId="77777777" w:rsidR="00EC0600" w:rsidRDefault="003F683D">
            <w:r>
              <w:t>Ostali prihodi</w:t>
            </w:r>
          </w:p>
        </w:tc>
        <w:tc>
          <w:tcPr>
            <w:tcW w:w="1250" w:type="pct"/>
            <w:vAlign w:val="center"/>
          </w:tcPr>
          <w:p w14:paraId="0A410D23" w14:textId="77777777" w:rsidR="00EC0600" w:rsidRDefault="003F683D">
            <w:r>
              <w:t>1.068,91</w:t>
            </w:r>
          </w:p>
        </w:tc>
        <w:tc>
          <w:tcPr>
            <w:tcW w:w="1250" w:type="pct"/>
            <w:vAlign w:val="center"/>
          </w:tcPr>
          <w:p w14:paraId="7CA1B30E" w14:textId="77777777" w:rsidR="00EC0600" w:rsidRDefault="003F683D">
            <w:r>
              <w:t>6.390,63</w:t>
            </w:r>
          </w:p>
        </w:tc>
        <w:tc>
          <w:tcPr>
            <w:tcW w:w="1250" w:type="pct"/>
            <w:vAlign w:val="center"/>
          </w:tcPr>
          <w:p w14:paraId="625F1AE4" w14:textId="77777777" w:rsidR="00EC0600" w:rsidRDefault="003F683D">
            <w:r>
              <w:t>597,9</w:t>
            </w:r>
          </w:p>
        </w:tc>
      </w:tr>
      <w:tr w:rsidR="00EC0600" w14:paraId="00F427BE" w14:textId="77777777">
        <w:trPr>
          <w:trHeight w:val="542"/>
        </w:trPr>
        <w:tc>
          <w:tcPr>
            <w:tcW w:w="1250" w:type="pct"/>
            <w:vAlign w:val="center"/>
          </w:tcPr>
          <w:p w14:paraId="52C6A0B8" w14:textId="77777777" w:rsidR="00EC0600" w:rsidRDefault="003F683D">
            <w:r>
              <w:rPr>
                <w:b/>
              </w:rPr>
              <w:t>Ukupni prihodi (šifra 6):</w:t>
            </w:r>
          </w:p>
        </w:tc>
        <w:tc>
          <w:tcPr>
            <w:tcW w:w="1250" w:type="pct"/>
            <w:vAlign w:val="center"/>
          </w:tcPr>
          <w:p w14:paraId="2910887D" w14:textId="77777777" w:rsidR="00EC0600" w:rsidRDefault="003F683D">
            <w:r>
              <w:rPr>
                <w:b/>
              </w:rPr>
              <w:t>2.901.329,93</w:t>
            </w:r>
          </w:p>
        </w:tc>
        <w:tc>
          <w:tcPr>
            <w:tcW w:w="1250" w:type="pct"/>
            <w:vAlign w:val="center"/>
          </w:tcPr>
          <w:p w14:paraId="7A50EE7C" w14:textId="77777777" w:rsidR="00EC0600" w:rsidRDefault="003F683D">
            <w:r>
              <w:rPr>
                <w:b/>
              </w:rPr>
              <w:t>3.544.527,60</w:t>
            </w:r>
          </w:p>
        </w:tc>
        <w:tc>
          <w:tcPr>
            <w:tcW w:w="1250" w:type="pct"/>
            <w:vAlign w:val="center"/>
          </w:tcPr>
          <w:p w14:paraId="0DDA0B67" w14:textId="77777777" w:rsidR="00EC0600" w:rsidRDefault="003F683D">
            <w:r>
              <w:rPr>
                <w:b/>
              </w:rPr>
              <w:t>122,2</w:t>
            </w:r>
          </w:p>
        </w:tc>
      </w:tr>
    </w:tbl>
    <w:p w14:paraId="31A555C7" w14:textId="77777777" w:rsidR="00EC0600" w:rsidRDefault="003F683D">
      <w:r>
        <w:lastRenderedPageBreak/>
        <w:t> </w:t>
      </w:r>
    </w:p>
    <w:p w14:paraId="2ED87E26" w14:textId="77777777" w:rsidR="00EC0600" w:rsidRDefault="003F683D">
      <w:pPr>
        <w:jc w:val="both"/>
      </w:pPr>
      <w:r>
        <w:t>Prihodi od pomoći odnose se na tekuće pomoći od institucija i tijela EU, prijenose između proračunskih korisnika istog proračuna, te tekućih i kapitalnih pomoći iz gradskih i županijskog proračuna.</w:t>
      </w:r>
    </w:p>
    <w:p w14:paraId="426C4864" w14:textId="77777777" w:rsidR="00EC0600" w:rsidRDefault="003F683D">
      <w:pPr>
        <w:jc w:val="both"/>
      </w:pPr>
      <w:r>
        <w:t>Na kontu 6323 je značajno uvećanje u odnosu na prethodnu godinu zbog uplate od 445.804,83 EUR za 1. i 2. izvještajno razdoblje po EU projektu MareSkill - Program prekogranične suradnje Italija-Hrvatska (Interreg Italy-Croatia) 2021-2027, na kojem je Veleučilište u Šibeniku nositelj projekta, te završnih uplata po uspješno završenim projektima.</w:t>
      </w:r>
    </w:p>
    <w:p w14:paraId="4F21F896" w14:textId="77777777" w:rsidR="00EC0600" w:rsidRDefault="003F683D">
      <w:pPr>
        <w:jc w:val="both"/>
      </w:pPr>
      <w:r>
        <w:t>Tekuće i kapitalne pomoći na kontu 636 odnose se na pomoći dane od Grada Šibenika u iznosu od 100.000,00 EUR, te Šibensko-kninske županije u iznosu od 20.000,00 EUR.</w:t>
      </w:r>
    </w:p>
    <w:p w14:paraId="654A62F7" w14:textId="77777777" w:rsidR="00EC0600" w:rsidRDefault="003F683D">
      <w:pPr>
        <w:jc w:val="both"/>
      </w:pPr>
      <w:r>
        <w:t>Prihodi od imovine odnose se na prihode od kamata na sredstva na računu u banci.</w:t>
      </w:r>
    </w:p>
    <w:p w14:paraId="71C37AB7" w14:textId="77777777" w:rsidR="00EC0600" w:rsidRDefault="003F683D">
      <w:pPr>
        <w:jc w:val="both"/>
      </w:pPr>
      <w:r>
        <w:t>Prihodi po posebnim propisima se odnose na prihode od participacija u cijeni školarina, te bilježe rast zbog većeg broja upisanih studenata u ovoj akademskoj godini.</w:t>
      </w:r>
    </w:p>
    <w:p w14:paraId="7347A847" w14:textId="77777777" w:rsidR="00EC0600" w:rsidRDefault="003F683D">
      <w:pPr>
        <w:jc w:val="both"/>
      </w:pPr>
      <w:r>
        <w:t>Prihodi od pruženih usluga se odnose na prihode od najma, usluga izvšenih na tržištu,  kotizacija za održanu 7.međunardodnu znanstvenu i stručnu konferenciju“Izazovi današnjice“, organizacije tečajeva za turističke vodiče, te prefekturiranje troškova električne energije Studetskom centru Šibenik za SD „Palacin“.</w:t>
      </w:r>
    </w:p>
    <w:p w14:paraId="1F0F97EB" w14:textId="77777777" w:rsidR="00EC0600" w:rsidRDefault="003F683D">
      <w:pPr>
        <w:jc w:val="both"/>
      </w:pPr>
      <w:r>
        <w:t>Prihod od donacija se odnosi na primljene donacije za organizaciju 7. međunarodne znanstvene i stručne konferencije " Izazovi današnjice" koja se održala u rujnu 2025.godine, donacije SC Šibenik Studentskom zboru za provedbu projekata studentskih aktivnosti, te uplata po ispostavljenim  ZNS-vima za 3 STEAM projekta na kojima su nositelji udruge.</w:t>
      </w:r>
    </w:p>
    <w:p w14:paraId="3443CA0B" w14:textId="77777777" w:rsidR="00EC0600" w:rsidRDefault="003F683D">
      <w:pPr>
        <w:jc w:val="both"/>
      </w:pPr>
      <w:r>
        <w:t>Prihodi od nadležnog Ministarstva bilježe rast zbog porasta plaća i materijalnih prava zaposlenika.</w:t>
      </w:r>
    </w:p>
    <w:p w14:paraId="27AAE043" w14:textId="77777777" w:rsidR="00EC0600" w:rsidRDefault="003F683D">
      <w:pPr>
        <w:jc w:val="both"/>
      </w:pPr>
      <w:r>
        <w:t>Ostali prihod odnosi se na povrat troška školarine za doktorski studij od strane zaposlenika, te na prihod od uplata studenata po obvezi za oportunitetni troškak.</w:t>
      </w:r>
    </w:p>
    <w:p w14:paraId="616A4321" w14:textId="77777777" w:rsidR="00EC0600" w:rsidRDefault="00EC0600"/>
    <w:p w14:paraId="449E2C32" w14:textId="77777777" w:rsidR="00EC0600" w:rsidRDefault="003F683D">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2F1A7C53" w14:textId="77777777">
        <w:trPr>
          <w:cantSplit/>
        </w:trPr>
        <w:tc>
          <w:tcPr>
            <w:tcW w:w="700" w:type="dxa"/>
            <w:shd w:val="clear" w:color="auto" w:fill="E7F0F9"/>
            <w:tcMar>
              <w:top w:w="0" w:type="dxa"/>
              <w:bottom w:w="0" w:type="dxa"/>
            </w:tcMar>
            <w:vAlign w:val="center"/>
          </w:tcPr>
          <w:p w14:paraId="03124087"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E421DA8"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78B316"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7B49E8"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2CF06F2"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4A5E90" w14:textId="77777777" w:rsidR="00EC0600" w:rsidRDefault="003F683D">
            <w:pPr>
              <w:keepNext/>
              <w:keepLines/>
              <w:spacing w:after="0" w:line="240" w:lineRule="auto"/>
              <w:jc w:val="center"/>
            </w:pPr>
            <w:r>
              <w:rPr>
                <w:b/>
                <w:sz w:val="18"/>
              </w:rPr>
              <w:t>Indeks (%)</w:t>
            </w:r>
          </w:p>
        </w:tc>
      </w:tr>
      <w:tr w:rsidR="00EC0600" w14:paraId="7FDD900E" w14:textId="77777777">
        <w:trPr>
          <w:cantSplit/>
          <w:trHeight w:val="560"/>
        </w:trPr>
        <w:tc>
          <w:tcPr>
            <w:tcW w:w="700" w:type="dxa"/>
            <w:tcMar>
              <w:top w:w="0" w:type="dxa"/>
              <w:bottom w:w="0" w:type="dxa"/>
            </w:tcMar>
            <w:vAlign w:val="center"/>
          </w:tcPr>
          <w:p w14:paraId="262056F8" w14:textId="77777777" w:rsidR="00EC0600" w:rsidRDefault="003F683D">
            <w:pPr>
              <w:keepNext/>
              <w:keepLines/>
              <w:spacing w:after="0" w:line="240" w:lineRule="auto"/>
            </w:pPr>
            <w:r>
              <w:rPr>
                <w:sz w:val="18"/>
              </w:rPr>
              <w:t>3</w:t>
            </w:r>
          </w:p>
        </w:tc>
        <w:tc>
          <w:tcPr>
            <w:tcW w:w="3180" w:type="dxa"/>
            <w:tcMar>
              <w:top w:w="0" w:type="dxa"/>
              <w:bottom w:w="0" w:type="dxa"/>
            </w:tcMar>
            <w:vAlign w:val="center"/>
          </w:tcPr>
          <w:p w14:paraId="41B52144" w14:textId="77777777" w:rsidR="00EC0600" w:rsidRDefault="003F683D">
            <w:pPr>
              <w:keepNext/>
              <w:keepLines/>
              <w:spacing w:after="0" w:line="240" w:lineRule="auto"/>
            </w:pPr>
            <w:r>
              <w:rPr>
                <w:sz w:val="18"/>
              </w:rPr>
              <w:t>RASHODI POSLOVANJA (šifre 31+32+34+35+36+37+38)</w:t>
            </w:r>
          </w:p>
        </w:tc>
        <w:tc>
          <w:tcPr>
            <w:tcW w:w="700" w:type="dxa"/>
            <w:tcMar>
              <w:top w:w="0" w:type="dxa"/>
              <w:bottom w:w="0" w:type="dxa"/>
            </w:tcMar>
            <w:vAlign w:val="center"/>
          </w:tcPr>
          <w:p w14:paraId="5CC9F7E1" w14:textId="77777777" w:rsidR="00EC0600" w:rsidRDefault="003F683D">
            <w:pPr>
              <w:keepNext/>
              <w:keepLines/>
              <w:spacing w:after="0" w:line="240" w:lineRule="auto"/>
            </w:pPr>
            <w:r>
              <w:rPr>
                <w:sz w:val="18"/>
              </w:rPr>
              <w:t>3</w:t>
            </w:r>
          </w:p>
        </w:tc>
        <w:tc>
          <w:tcPr>
            <w:tcW w:w="1860" w:type="dxa"/>
            <w:tcMar>
              <w:top w:w="0" w:type="dxa"/>
              <w:bottom w:w="0" w:type="dxa"/>
            </w:tcMar>
            <w:vAlign w:val="center"/>
          </w:tcPr>
          <w:p w14:paraId="4B376C32" w14:textId="77777777" w:rsidR="00EC0600" w:rsidRDefault="003F683D">
            <w:pPr>
              <w:keepNext/>
              <w:keepLines/>
              <w:spacing w:after="0" w:line="240" w:lineRule="auto"/>
              <w:jc w:val="right"/>
            </w:pPr>
            <w:r>
              <w:rPr>
                <w:sz w:val="18"/>
              </w:rPr>
              <w:t>2.798.876,95</w:t>
            </w:r>
          </w:p>
        </w:tc>
        <w:tc>
          <w:tcPr>
            <w:tcW w:w="1860" w:type="dxa"/>
            <w:tcMar>
              <w:top w:w="0" w:type="dxa"/>
              <w:bottom w:w="0" w:type="dxa"/>
            </w:tcMar>
            <w:vAlign w:val="center"/>
          </w:tcPr>
          <w:p w14:paraId="283EA4DD" w14:textId="77777777" w:rsidR="00EC0600" w:rsidRDefault="003F683D">
            <w:pPr>
              <w:keepNext/>
              <w:keepLines/>
              <w:spacing w:after="0" w:line="240" w:lineRule="auto"/>
              <w:jc w:val="right"/>
            </w:pPr>
            <w:r>
              <w:rPr>
                <w:sz w:val="18"/>
              </w:rPr>
              <w:t>3.410.740,16</w:t>
            </w:r>
          </w:p>
        </w:tc>
        <w:tc>
          <w:tcPr>
            <w:tcW w:w="700" w:type="dxa"/>
            <w:tcMar>
              <w:top w:w="0" w:type="dxa"/>
              <w:bottom w:w="0" w:type="dxa"/>
            </w:tcMar>
            <w:vAlign w:val="center"/>
          </w:tcPr>
          <w:p w14:paraId="06477EF1" w14:textId="77777777" w:rsidR="00EC0600" w:rsidRDefault="003F683D">
            <w:pPr>
              <w:keepNext/>
              <w:keepLines/>
              <w:spacing w:after="0" w:line="240" w:lineRule="auto"/>
              <w:jc w:val="right"/>
            </w:pPr>
            <w:r>
              <w:rPr>
                <w:sz w:val="18"/>
              </w:rPr>
              <w:t>121,9</w:t>
            </w:r>
          </w:p>
        </w:tc>
      </w:tr>
    </w:tbl>
    <w:p w14:paraId="71EC653D" w14:textId="77777777" w:rsidR="00EC0600" w:rsidRDefault="00EC0600">
      <w:pPr>
        <w:spacing w:after="0"/>
      </w:pPr>
    </w:p>
    <w:p w14:paraId="14F4D49E" w14:textId="77777777" w:rsidR="00EC0600" w:rsidRDefault="003F683D">
      <w:r>
        <w:t>Iskazani rashodi u izvješću o prihodima i rashodima odnose se na:</w:t>
      </w:r>
    </w:p>
    <w:tbl>
      <w:tblPr>
        <w:tblStyle w:val="TableGrid"/>
        <w:tblW w:w="5000" w:type="pct"/>
        <w:tblLook w:val="04A0" w:firstRow="1" w:lastRow="0" w:firstColumn="1" w:lastColumn="0" w:noHBand="0" w:noVBand="1"/>
      </w:tblPr>
      <w:tblGrid>
        <w:gridCol w:w="2540"/>
        <w:gridCol w:w="1990"/>
        <w:gridCol w:w="2266"/>
        <w:gridCol w:w="2266"/>
      </w:tblGrid>
      <w:tr w:rsidR="00EC0600" w14:paraId="658E0268" w14:textId="77777777">
        <w:trPr>
          <w:trHeight w:val="542"/>
        </w:trPr>
        <w:tc>
          <w:tcPr>
            <w:tcW w:w="1401" w:type="pct"/>
            <w:vAlign w:val="center"/>
          </w:tcPr>
          <w:p w14:paraId="0F8D63D4" w14:textId="77777777" w:rsidR="00EC0600" w:rsidRDefault="003F683D">
            <w:pPr>
              <w:keepNext/>
              <w:jc w:val="center"/>
            </w:pPr>
            <w:r>
              <w:rPr>
                <w:b/>
              </w:rPr>
              <w:t>Opis</w:t>
            </w:r>
          </w:p>
        </w:tc>
        <w:tc>
          <w:tcPr>
            <w:tcW w:w="1098" w:type="pct"/>
            <w:vAlign w:val="center"/>
          </w:tcPr>
          <w:p w14:paraId="3E3B78DC" w14:textId="77777777" w:rsidR="00EC0600" w:rsidRDefault="003F683D">
            <w:pPr>
              <w:keepNext/>
              <w:jc w:val="center"/>
            </w:pPr>
            <w:r>
              <w:rPr>
                <w:b/>
              </w:rPr>
              <w:t>2024.g.</w:t>
            </w:r>
          </w:p>
        </w:tc>
        <w:tc>
          <w:tcPr>
            <w:tcW w:w="1250" w:type="pct"/>
            <w:vAlign w:val="center"/>
          </w:tcPr>
          <w:p w14:paraId="0A985648" w14:textId="77777777" w:rsidR="00EC0600" w:rsidRDefault="003F683D">
            <w:pPr>
              <w:keepNext/>
              <w:jc w:val="center"/>
            </w:pPr>
            <w:r>
              <w:rPr>
                <w:b/>
              </w:rPr>
              <w:t>2025.g.</w:t>
            </w:r>
          </w:p>
        </w:tc>
        <w:tc>
          <w:tcPr>
            <w:tcW w:w="1250" w:type="pct"/>
            <w:vAlign w:val="center"/>
          </w:tcPr>
          <w:p w14:paraId="1132D124" w14:textId="77777777" w:rsidR="00EC0600" w:rsidRDefault="003F683D">
            <w:pPr>
              <w:keepNext/>
              <w:jc w:val="center"/>
            </w:pPr>
            <w:r>
              <w:rPr>
                <w:b/>
              </w:rPr>
              <w:t>Indeks</w:t>
            </w:r>
          </w:p>
        </w:tc>
      </w:tr>
      <w:tr w:rsidR="00EC0600" w14:paraId="21A86779" w14:textId="77777777">
        <w:trPr>
          <w:trHeight w:val="542"/>
        </w:trPr>
        <w:tc>
          <w:tcPr>
            <w:tcW w:w="1401" w:type="pct"/>
            <w:vAlign w:val="center"/>
          </w:tcPr>
          <w:p w14:paraId="13FF2FB1" w14:textId="77777777" w:rsidR="00EC0600" w:rsidRDefault="003F683D">
            <w:r>
              <w:t>Rashodi za zaposlene</w:t>
            </w:r>
          </w:p>
        </w:tc>
        <w:tc>
          <w:tcPr>
            <w:tcW w:w="1098" w:type="pct"/>
            <w:vAlign w:val="center"/>
          </w:tcPr>
          <w:p w14:paraId="3FD55FF5" w14:textId="77777777" w:rsidR="00EC0600" w:rsidRDefault="003F683D">
            <w:pPr>
              <w:keepNext/>
              <w:jc w:val="center"/>
            </w:pPr>
            <w:r>
              <w:t>1.847.167,63</w:t>
            </w:r>
          </w:p>
        </w:tc>
        <w:tc>
          <w:tcPr>
            <w:tcW w:w="1250" w:type="pct"/>
            <w:vAlign w:val="center"/>
          </w:tcPr>
          <w:p w14:paraId="77CF1EDB" w14:textId="77777777" w:rsidR="00EC0600" w:rsidRDefault="003F683D">
            <w:pPr>
              <w:keepNext/>
              <w:jc w:val="center"/>
            </w:pPr>
            <w:r>
              <w:t>2.048.526,41</w:t>
            </w:r>
          </w:p>
        </w:tc>
        <w:tc>
          <w:tcPr>
            <w:tcW w:w="1250" w:type="pct"/>
            <w:vAlign w:val="center"/>
          </w:tcPr>
          <w:p w14:paraId="5FDFA421" w14:textId="77777777" w:rsidR="00EC0600" w:rsidRDefault="003F683D">
            <w:pPr>
              <w:keepNext/>
              <w:jc w:val="center"/>
            </w:pPr>
            <w:r>
              <w:t>110,90</w:t>
            </w:r>
          </w:p>
        </w:tc>
      </w:tr>
      <w:tr w:rsidR="00EC0600" w14:paraId="7B7304B9" w14:textId="77777777">
        <w:trPr>
          <w:trHeight w:val="542"/>
        </w:trPr>
        <w:tc>
          <w:tcPr>
            <w:tcW w:w="1401" w:type="pct"/>
            <w:vAlign w:val="center"/>
          </w:tcPr>
          <w:p w14:paraId="54964C7F" w14:textId="77777777" w:rsidR="00EC0600" w:rsidRDefault="003F683D">
            <w:r>
              <w:t>Materijalni rashodi</w:t>
            </w:r>
          </w:p>
        </w:tc>
        <w:tc>
          <w:tcPr>
            <w:tcW w:w="1098" w:type="pct"/>
            <w:vAlign w:val="center"/>
          </w:tcPr>
          <w:p w14:paraId="25017F2D" w14:textId="77777777" w:rsidR="00EC0600" w:rsidRDefault="003F683D">
            <w:pPr>
              <w:keepNext/>
              <w:jc w:val="center"/>
            </w:pPr>
            <w:r>
              <w:t>731.008,03</w:t>
            </w:r>
          </w:p>
        </w:tc>
        <w:tc>
          <w:tcPr>
            <w:tcW w:w="1250" w:type="pct"/>
            <w:vAlign w:val="center"/>
          </w:tcPr>
          <w:p w14:paraId="4578AF6C" w14:textId="77777777" w:rsidR="00EC0600" w:rsidRDefault="003F683D">
            <w:pPr>
              <w:keepNext/>
              <w:jc w:val="center"/>
            </w:pPr>
            <w:r>
              <w:t>899.072,89</w:t>
            </w:r>
          </w:p>
        </w:tc>
        <w:tc>
          <w:tcPr>
            <w:tcW w:w="1250" w:type="pct"/>
            <w:vAlign w:val="center"/>
          </w:tcPr>
          <w:p w14:paraId="41EEA66A" w14:textId="77777777" w:rsidR="00EC0600" w:rsidRDefault="003F683D">
            <w:pPr>
              <w:keepNext/>
              <w:jc w:val="center"/>
            </w:pPr>
            <w:r>
              <w:t>123,0</w:t>
            </w:r>
          </w:p>
        </w:tc>
      </w:tr>
      <w:tr w:rsidR="00EC0600" w14:paraId="114A9B9F" w14:textId="77777777">
        <w:trPr>
          <w:trHeight w:val="542"/>
        </w:trPr>
        <w:tc>
          <w:tcPr>
            <w:tcW w:w="1401" w:type="pct"/>
            <w:vAlign w:val="center"/>
          </w:tcPr>
          <w:p w14:paraId="068933B5" w14:textId="77777777" w:rsidR="00EC0600" w:rsidRDefault="003F683D">
            <w:r>
              <w:lastRenderedPageBreak/>
              <w:t>Financijski rashodi</w:t>
            </w:r>
          </w:p>
        </w:tc>
        <w:tc>
          <w:tcPr>
            <w:tcW w:w="1098" w:type="pct"/>
            <w:vAlign w:val="center"/>
          </w:tcPr>
          <w:p w14:paraId="58915C07" w14:textId="77777777" w:rsidR="00EC0600" w:rsidRDefault="003F683D">
            <w:pPr>
              <w:keepNext/>
              <w:jc w:val="center"/>
            </w:pPr>
            <w:r>
              <w:t>2.514,95</w:t>
            </w:r>
          </w:p>
        </w:tc>
        <w:tc>
          <w:tcPr>
            <w:tcW w:w="1250" w:type="pct"/>
            <w:vAlign w:val="center"/>
          </w:tcPr>
          <w:p w14:paraId="5B845800" w14:textId="77777777" w:rsidR="00EC0600" w:rsidRDefault="003F683D">
            <w:pPr>
              <w:keepNext/>
              <w:jc w:val="center"/>
            </w:pPr>
            <w:r>
              <w:t>3.551,65</w:t>
            </w:r>
          </w:p>
        </w:tc>
        <w:tc>
          <w:tcPr>
            <w:tcW w:w="1250" w:type="pct"/>
            <w:vAlign w:val="center"/>
          </w:tcPr>
          <w:p w14:paraId="7F30E192" w14:textId="77777777" w:rsidR="00EC0600" w:rsidRDefault="003F683D">
            <w:pPr>
              <w:keepNext/>
              <w:jc w:val="center"/>
            </w:pPr>
            <w:r>
              <w:t>141,2</w:t>
            </w:r>
          </w:p>
        </w:tc>
      </w:tr>
      <w:tr w:rsidR="00EC0600" w14:paraId="6E5BAA75" w14:textId="77777777">
        <w:trPr>
          <w:trHeight w:val="878"/>
        </w:trPr>
        <w:tc>
          <w:tcPr>
            <w:tcW w:w="1401" w:type="pct"/>
            <w:vAlign w:val="center"/>
          </w:tcPr>
          <w:p w14:paraId="7640E6B8" w14:textId="77777777" w:rsidR="00EC0600" w:rsidRDefault="003F683D">
            <w:r>
              <w:t>Pomoći dane u inozemstvo i unutar općeg proračuna</w:t>
            </w:r>
          </w:p>
        </w:tc>
        <w:tc>
          <w:tcPr>
            <w:tcW w:w="1098" w:type="pct"/>
            <w:vAlign w:val="center"/>
          </w:tcPr>
          <w:p w14:paraId="32E01762" w14:textId="77777777" w:rsidR="00EC0600" w:rsidRDefault="003F683D">
            <w:pPr>
              <w:keepNext/>
              <w:jc w:val="center"/>
            </w:pPr>
            <w:r>
              <w:t>190.890,43</w:t>
            </w:r>
          </w:p>
        </w:tc>
        <w:tc>
          <w:tcPr>
            <w:tcW w:w="1250" w:type="pct"/>
            <w:vAlign w:val="center"/>
          </w:tcPr>
          <w:p w14:paraId="59EDCBDD" w14:textId="77777777" w:rsidR="00EC0600" w:rsidRDefault="003F683D">
            <w:pPr>
              <w:keepNext/>
              <w:jc w:val="center"/>
            </w:pPr>
            <w:r>
              <w:t>396.826,34</w:t>
            </w:r>
          </w:p>
        </w:tc>
        <w:tc>
          <w:tcPr>
            <w:tcW w:w="1250" w:type="pct"/>
            <w:vAlign w:val="center"/>
          </w:tcPr>
          <w:p w14:paraId="12B2BF25" w14:textId="77777777" w:rsidR="00EC0600" w:rsidRDefault="003F683D">
            <w:pPr>
              <w:keepNext/>
              <w:jc w:val="center"/>
            </w:pPr>
            <w:r>
              <w:t>207,9</w:t>
            </w:r>
          </w:p>
        </w:tc>
      </w:tr>
      <w:tr w:rsidR="00EC0600" w14:paraId="495D3AE6" w14:textId="77777777">
        <w:trPr>
          <w:trHeight w:val="878"/>
        </w:trPr>
        <w:tc>
          <w:tcPr>
            <w:tcW w:w="1401" w:type="pct"/>
            <w:vAlign w:val="center"/>
          </w:tcPr>
          <w:p w14:paraId="4DA7374D" w14:textId="77777777" w:rsidR="00EC0600" w:rsidRDefault="003F683D">
            <w:r>
              <w:t>Naknade građanima i kućanstvima u novcu</w:t>
            </w:r>
          </w:p>
        </w:tc>
        <w:tc>
          <w:tcPr>
            <w:tcW w:w="1098" w:type="pct"/>
            <w:vAlign w:val="center"/>
          </w:tcPr>
          <w:p w14:paraId="230154EC" w14:textId="77777777" w:rsidR="00EC0600" w:rsidRDefault="003F683D">
            <w:pPr>
              <w:keepNext/>
              <w:jc w:val="center"/>
            </w:pPr>
            <w:r>
              <w:t>23.248,69</w:t>
            </w:r>
          </w:p>
        </w:tc>
        <w:tc>
          <w:tcPr>
            <w:tcW w:w="1250" w:type="pct"/>
            <w:vAlign w:val="center"/>
          </w:tcPr>
          <w:p w14:paraId="0523B44F" w14:textId="77777777" w:rsidR="00EC0600" w:rsidRDefault="003F683D">
            <w:pPr>
              <w:keepNext/>
              <w:jc w:val="center"/>
            </w:pPr>
            <w:r>
              <w:t>12.062,30</w:t>
            </w:r>
          </w:p>
        </w:tc>
        <w:tc>
          <w:tcPr>
            <w:tcW w:w="1250" w:type="pct"/>
            <w:vAlign w:val="center"/>
          </w:tcPr>
          <w:p w14:paraId="45C8F49E" w14:textId="77777777" w:rsidR="00EC0600" w:rsidRDefault="003F683D">
            <w:pPr>
              <w:keepNext/>
              <w:jc w:val="center"/>
            </w:pPr>
            <w:r>
              <w:t>51,9</w:t>
            </w:r>
          </w:p>
        </w:tc>
      </w:tr>
      <w:tr w:rsidR="00EC0600" w14:paraId="305067ED" w14:textId="77777777">
        <w:trPr>
          <w:trHeight w:val="542"/>
        </w:trPr>
        <w:tc>
          <w:tcPr>
            <w:tcW w:w="1401" w:type="pct"/>
            <w:vAlign w:val="center"/>
          </w:tcPr>
          <w:p w14:paraId="18A959CE" w14:textId="77777777" w:rsidR="00EC0600" w:rsidRDefault="003F683D">
            <w:r>
              <w:t>Rashodi za donacije, kazne, naknade štete i kapitalne pomoći</w:t>
            </w:r>
          </w:p>
        </w:tc>
        <w:tc>
          <w:tcPr>
            <w:tcW w:w="1098" w:type="pct"/>
            <w:vAlign w:val="center"/>
          </w:tcPr>
          <w:p w14:paraId="33E6FBEB" w14:textId="77777777" w:rsidR="00EC0600" w:rsidRDefault="003F683D">
            <w:pPr>
              <w:keepNext/>
              <w:jc w:val="center"/>
            </w:pPr>
            <w:r>
              <w:t>4.047,22</w:t>
            </w:r>
          </w:p>
        </w:tc>
        <w:tc>
          <w:tcPr>
            <w:tcW w:w="1250" w:type="pct"/>
            <w:vAlign w:val="center"/>
          </w:tcPr>
          <w:p w14:paraId="3F5B362C" w14:textId="77777777" w:rsidR="00EC0600" w:rsidRDefault="003F683D">
            <w:pPr>
              <w:keepNext/>
              <w:jc w:val="center"/>
            </w:pPr>
            <w:r>
              <w:t>50.700,57</w:t>
            </w:r>
          </w:p>
        </w:tc>
        <w:tc>
          <w:tcPr>
            <w:tcW w:w="1250" w:type="pct"/>
            <w:vAlign w:val="center"/>
          </w:tcPr>
          <w:p w14:paraId="2939FA9F" w14:textId="77777777" w:rsidR="00EC0600" w:rsidRDefault="003F683D">
            <w:pPr>
              <w:keepNext/>
              <w:jc w:val="center"/>
            </w:pPr>
            <w:r>
              <w:t>1.252,70</w:t>
            </w:r>
          </w:p>
        </w:tc>
      </w:tr>
      <w:tr w:rsidR="00EC0600" w14:paraId="2C089837" w14:textId="77777777">
        <w:trPr>
          <w:trHeight w:val="878"/>
        </w:trPr>
        <w:tc>
          <w:tcPr>
            <w:tcW w:w="1401" w:type="pct"/>
            <w:vAlign w:val="center"/>
          </w:tcPr>
          <w:p w14:paraId="17AFB17D" w14:textId="77777777" w:rsidR="00EC0600" w:rsidRDefault="003F683D">
            <w:r>
              <w:rPr>
                <w:b/>
              </w:rPr>
              <w:t>Ukupni rashodi poslovanja (šifra 3):</w:t>
            </w:r>
          </w:p>
        </w:tc>
        <w:tc>
          <w:tcPr>
            <w:tcW w:w="1098" w:type="pct"/>
            <w:vAlign w:val="center"/>
          </w:tcPr>
          <w:p w14:paraId="4A38B957" w14:textId="77777777" w:rsidR="00EC0600" w:rsidRDefault="003F683D">
            <w:pPr>
              <w:keepNext/>
              <w:jc w:val="center"/>
            </w:pPr>
            <w:r>
              <w:rPr>
                <w:b/>
              </w:rPr>
              <w:t>2.798.876,95</w:t>
            </w:r>
          </w:p>
        </w:tc>
        <w:tc>
          <w:tcPr>
            <w:tcW w:w="1250" w:type="pct"/>
            <w:vAlign w:val="center"/>
          </w:tcPr>
          <w:p w14:paraId="7D2B0988" w14:textId="77777777" w:rsidR="00EC0600" w:rsidRDefault="003F683D">
            <w:pPr>
              <w:keepNext/>
              <w:jc w:val="center"/>
            </w:pPr>
            <w:r>
              <w:rPr>
                <w:b/>
              </w:rPr>
              <w:t>3.410.740,16</w:t>
            </w:r>
          </w:p>
        </w:tc>
        <w:tc>
          <w:tcPr>
            <w:tcW w:w="1250" w:type="pct"/>
            <w:vAlign w:val="center"/>
          </w:tcPr>
          <w:p w14:paraId="771998D2" w14:textId="77777777" w:rsidR="00EC0600" w:rsidRDefault="003F683D">
            <w:pPr>
              <w:keepNext/>
              <w:jc w:val="center"/>
            </w:pPr>
            <w:r>
              <w:rPr>
                <w:b/>
              </w:rPr>
              <w:t>121,90</w:t>
            </w:r>
          </w:p>
        </w:tc>
      </w:tr>
    </w:tbl>
    <w:p w14:paraId="0468A0BC" w14:textId="77777777" w:rsidR="003F683D" w:rsidRDefault="003F683D">
      <w:pPr>
        <w:jc w:val="both"/>
      </w:pPr>
    </w:p>
    <w:p w14:paraId="60C44D6C" w14:textId="1F9DD106" w:rsidR="00EC0600" w:rsidRDefault="003F683D">
      <w:pPr>
        <w:jc w:val="both"/>
      </w:pPr>
      <w:r>
        <w:t>Rashodi za zaposlenike odnose na plaće, te poreze i doprinose na plaće zaposlenih u 2025. godini. Povećanje osnovice za obračun plaća za javne i državne službenike dovelo je do porasta rashoda za zaposlenike od10,9%. Veleučilište na dan 31.12.2025. je zapošljavalo 55 radnika. U 2025. godini Veleučilište je uredno i na vrijeme podmirivalo obveze prema svim zaposlenima.</w:t>
      </w:r>
    </w:p>
    <w:p w14:paraId="65DB0119" w14:textId="77777777" w:rsidR="00EC0600" w:rsidRDefault="003F683D">
      <w:pPr>
        <w:jc w:val="both"/>
      </w:pPr>
      <w:r>
        <w:t>Materijalni rashodi biljže rast od 23,0% u usporedbi s istim razdobljem prošle godine. Najznačajnije povećanje rashoda evidentirano je na rashodima za intelektualne i osobne usluge zbog povećanog broja vanjskih suradnika potrebnih za održavanje nastave, osobito na stručnom prijediplomskom studiju Sestrinstva, te na rashodima za naknadu troškova osobama izvan radnog vremena koje je nastalo zbog većeg boja dolaznih stranih studenata iz Ukrajine po Erasmus + Ugovorima.</w:t>
      </w:r>
    </w:p>
    <w:p w14:paraId="1DC60642" w14:textId="77777777" w:rsidR="00EC0600" w:rsidRDefault="003F683D">
      <w:pPr>
        <w:jc w:val="both"/>
      </w:pPr>
      <w:r>
        <w:t>Financijski rashod odnosi se trošak platnog prometa, te trošak kamata po Ugovoru o financijskom leasingu za nabavu osobnog automobila.</w:t>
      </w:r>
    </w:p>
    <w:p w14:paraId="50EAD436" w14:textId="77777777" w:rsidR="00EC0600" w:rsidRDefault="003F683D">
      <w:pPr>
        <w:jc w:val="both"/>
      </w:pPr>
      <w:r>
        <w:t>Stavka Pomoći dane u inozemstvo i unutar općeg proračuna  u ovoj godini bilježi znatan rast koji je nastao zbog prijenosa sredstava partnerima po EU projektima Interreg Italy-Croatia MareSkill i projektu 2024-1-HR01-KA220-HED-000245495 EcoMinds na kojima je Veleučilište u Šibeniku nositelj.</w:t>
      </w:r>
    </w:p>
    <w:p w14:paraId="5BDC0B55" w14:textId="77777777" w:rsidR="00EC0600" w:rsidRDefault="003F683D">
      <w:pPr>
        <w:jc w:val="both"/>
      </w:pPr>
      <w:r>
        <w:t>Naknade građanima i kućanstvima bilježe pad rashoda u odnosu na prošlu godinu zbog manjeg troška školarina doktorskih studija.</w:t>
      </w:r>
    </w:p>
    <w:p w14:paraId="23ABB56A" w14:textId="77777777" w:rsidR="00EC0600" w:rsidRDefault="003F683D">
      <w:pPr>
        <w:jc w:val="both"/>
      </w:pPr>
      <w:r>
        <w:t>Rashodi za donacije, kazne, naknade štete i kapitalne pomoći također bilježe znatno odstupanje koje je nastalo na kontu 3813. Ovo odstupanje je posljedica prijenosa sredstava HGK, jednom od partnera na EU projektu Interreg Italy-Croatia MareSkill.</w:t>
      </w:r>
    </w:p>
    <w:p w14:paraId="0D5B6ED0" w14:textId="77777777" w:rsidR="00EC0600" w:rsidRDefault="003F683D">
      <w:pPr>
        <w:jc w:val="both"/>
      </w:pPr>
      <w:r>
        <w:t> </w:t>
      </w:r>
    </w:p>
    <w:p w14:paraId="07B6EA19" w14:textId="77777777" w:rsidR="00EC0600" w:rsidRDefault="003F683D">
      <w:pPr>
        <w:jc w:val="both"/>
      </w:pPr>
      <w:r>
        <w:t> </w:t>
      </w:r>
    </w:p>
    <w:p w14:paraId="0F3F6DF8" w14:textId="77777777" w:rsidR="00EC0600" w:rsidRDefault="00EC0600"/>
    <w:p w14:paraId="0F6A6F01" w14:textId="77777777" w:rsidR="00EC0600" w:rsidRDefault="003F683D">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7EAFAB3E" w14:textId="77777777">
        <w:trPr>
          <w:cantSplit/>
        </w:trPr>
        <w:tc>
          <w:tcPr>
            <w:tcW w:w="700" w:type="dxa"/>
            <w:shd w:val="clear" w:color="auto" w:fill="E7F0F9"/>
            <w:tcMar>
              <w:top w:w="0" w:type="dxa"/>
              <w:bottom w:w="0" w:type="dxa"/>
            </w:tcMar>
            <w:vAlign w:val="center"/>
          </w:tcPr>
          <w:p w14:paraId="01313DC7"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91BA88C"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1DF7FA"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BEED17"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9A58D4"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4EB62C" w14:textId="77777777" w:rsidR="00EC0600" w:rsidRDefault="003F683D">
            <w:pPr>
              <w:keepNext/>
              <w:keepLines/>
              <w:spacing w:after="0" w:line="240" w:lineRule="auto"/>
              <w:jc w:val="center"/>
            </w:pPr>
            <w:r>
              <w:rPr>
                <w:b/>
                <w:sz w:val="18"/>
              </w:rPr>
              <w:t>Indeks (%)</w:t>
            </w:r>
          </w:p>
        </w:tc>
      </w:tr>
      <w:tr w:rsidR="00EC0600" w14:paraId="535461E9" w14:textId="77777777">
        <w:trPr>
          <w:cantSplit/>
          <w:trHeight w:val="560"/>
        </w:trPr>
        <w:tc>
          <w:tcPr>
            <w:tcW w:w="700" w:type="dxa"/>
            <w:tcMar>
              <w:top w:w="0" w:type="dxa"/>
              <w:bottom w:w="0" w:type="dxa"/>
            </w:tcMar>
            <w:vAlign w:val="center"/>
          </w:tcPr>
          <w:p w14:paraId="34497411" w14:textId="77777777" w:rsidR="00EC0600" w:rsidRDefault="00EC0600">
            <w:pPr>
              <w:keepNext/>
              <w:keepLines/>
              <w:spacing w:after="0" w:line="240" w:lineRule="auto"/>
            </w:pPr>
          </w:p>
        </w:tc>
        <w:tc>
          <w:tcPr>
            <w:tcW w:w="3180" w:type="dxa"/>
            <w:tcMar>
              <w:top w:w="0" w:type="dxa"/>
              <w:bottom w:w="0" w:type="dxa"/>
            </w:tcMar>
            <w:vAlign w:val="center"/>
          </w:tcPr>
          <w:p w14:paraId="00F68479" w14:textId="77777777" w:rsidR="00EC0600" w:rsidRDefault="003F683D">
            <w:pPr>
              <w:keepNext/>
              <w:keepLines/>
              <w:spacing w:after="0" w:line="240" w:lineRule="auto"/>
            </w:pPr>
            <w:r>
              <w:rPr>
                <w:sz w:val="18"/>
              </w:rPr>
              <w:t>VIŠAK PRIHODA POSLOVANJA (šifre 6-Z005)</w:t>
            </w:r>
          </w:p>
        </w:tc>
        <w:tc>
          <w:tcPr>
            <w:tcW w:w="700" w:type="dxa"/>
            <w:tcMar>
              <w:top w:w="0" w:type="dxa"/>
              <w:bottom w:w="0" w:type="dxa"/>
            </w:tcMar>
            <w:vAlign w:val="center"/>
          </w:tcPr>
          <w:p w14:paraId="0C44D6B3" w14:textId="77777777" w:rsidR="00EC0600" w:rsidRDefault="003F683D">
            <w:pPr>
              <w:keepNext/>
              <w:keepLines/>
              <w:spacing w:after="0" w:line="240" w:lineRule="auto"/>
            </w:pPr>
            <w:r>
              <w:rPr>
                <w:sz w:val="18"/>
              </w:rPr>
              <w:t>X001</w:t>
            </w:r>
          </w:p>
        </w:tc>
        <w:tc>
          <w:tcPr>
            <w:tcW w:w="1860" w:type="dxa"/>
            <w:tcMar>
              <w:top w:w="0" w:type="dxa"/>
              <w:bottom w:w="0" w:type="dxa"/>
            </w:tcMar>
            <w:vAlign w:val="center"/>
          </w:tcPr>
          <w:p w14:paraId="47ED421B" w14:textId="77777777" w:rsidR="00EC0600" w:rsidRDefault="003F683D">
            <w:pPr>
              <w:keepNext/>
              <w:keepLines/>
              <w:spacing w:after="0" w:line="240" w:lineRule="auto"/>
              <w:jc w:val="right"/>
            </w:pPr>
            <w:r>
              <w:rPr>
                <w:sz w:val="18"/>
              </w:rPr>
              <w:t>102.452,98</w:t>
            </w:r>
          </w:p>
        </w:tc>
        <w:tc>
          <w:tcPr>
            <w:tcW w:w="1860" w:type="dxa"/>
            <w:tcMar>
              <w:top w:w="0" w:type="dxa"/>
              <w:bottom w:w="0" w:type="dxa"/>
            </w:tcMar>
            <w:vAlign w:val="center"/>
          </w:tcPr>
          <w:p w14:paraId="740DEA2C" w14:textId="77777777" w:rsidR="00EC0600" w:rsidRDefault="003F683D">
            <w:pPr>
              <w:keepNext/>
              <w:keepLines/>
              <w:spacing w:after="0" w:line="240" w:lineRule="auto"/>
              <w:jc w:val="right"/>
            </w:pPr>
            <w:r>
              <w:rPr>
                <w:sz w:val="18"/>
              </w:rPr>
              <w:t>133.787,44</w:t>
            </w:r>
          </w:p>
        </w:tc>
        <w:tc>
          <w:tcPr>
            <w:tcW w:w="700" w:type="dxa"/>
            <w:tcMar>
              <w:top w:w="0" w:type="dxa"/>
              <w:bottom w:w="0" w:type="dxa"/>
            </w:tcMar>
            <w:vAlign w:val="center"/>
          </w:tcPr>
          <w:p w14:paraId="54DD92C5" w14:textId="77777777" w:rsidR="00EC0600" w:rsidRDefault="003F683D">
            <w:pPr>
              <w:keepNext/>
              <w:keepLines/>
              <w:spacing w:after="0" w:line="240" w:lineRule="auto"/>
              <w:jc w:val="right"/>
            </w:pPr>
            <w:r>
              <w:rPr>
                <w:sz w:val="18"/>
              </w:rPr>
              <w:t>130,6</w:t>
            </w:r>
          </w:p>
        </w:tc>
      </w:tr>
    </w:tbl>
    <w:p w14:paraId="673D1962" w14:textId="77777777" w:rsidR="00EC0600" w:rsidRDefault="00EC0600">
      <w:pPr>
        <w:spacing w:after="0"/>
      </w:pPr>
    </w:p>
    <w:p w14:paraId="2E03BA77" w14:textId="77777777" w:rsidR="00EC0600" w:rsidRDefault="003F683D">
      <w:r>
        <w:t>U 2025.godini ostvaren je tekući višak poslovanja, te se njime pokriva tekući manjak od nefinancijske i financijske imovine.</w:t>
      </w:r>
    </w:p>
    <w:p w14:paraId="6015365A" w14:textId="77777777" w:rsidR="00EC0600" w:rsidRDefault="00EC0600"/>
    <w:p w14:paraId="28D313B5" w14:textId="77777777" w:rsidR="00EC0600" w:rsidRDefault="003F683D">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7BAD83A7" w14:textId="77777777">
        <w:trPr>
          <w:cantSplit/>
        </w:trPr>
        <w:tc>
          <w:tcPr>
            <w:tcW w:w="700" w:type="dxa"/>
            <w:shd w:val="clear" w:color="auto" w:fill="E7F0F9"/>
            <w:tcMar>
              <w:top w:w="0" w:type="dxa"/>
              <w:bottom w:w="0" w:type="dxa"/>
            </w:tcMar>
            <w:vAlign w:val="center"/>
          </w:tcPr>
          <w:p w14:paraId="44A7C7A4"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3A2C3F4"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6445EA0"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EF0B0C"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87ACEB"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0179E1" w14:textId="77777777" w:rsidR="00EC0600" w:rsidRDefault="003F683D">
            <w:pPr>
              <w:keepNext/>
              <w:keepLines/>
              <w:spacing w:after="0" w:line="240" w:lineRule="auto"/>
              <w:jc w:val="center"/>
            </w:pPr>
            <w:r>
              <w:rPr>
                <w:b/>
                <w:sz w:val="18"/>
              </w:rPr>
              <w:t>Indeks (%)</w:t>
            </w:r>
          </w:p>
        </w:tc>
      </w:tr>
      <w:tr w:rsidR="00EC0600" w14:paraId="62B6CE73" w14:textId="77777777">
        <w:trPr>
          <w:cantSplit/>
          <w:trHeight w:val="560"/>
        </w:trPr>
        <w:tc>
          <w:tcPr>
            <w:tcW w:w="700" w:type="dxa"/>
            <w:tcMar>
              <w:top w:w="0" w:type="dxa"/>
              <w:bottom w:w="0" w:type="dxa"/>
            </w:tcMar>
            <w:vAlign w:val="center"/>
          </w:tcPr>
          <w:p w14:paraId="4AA0927B" w14:textId="77777777" w:rsidR="00EC0600" w:rsidRDefault="003F683D">
            <w:pPr>
              <w:keepNext/>
              <w:keepLines/>
              <w:spacing w:after="0" w:line="240" w:lineRule="auto"/>
            </w:pPr>
            <w:r>
              <w:rPr>
                <w:sz w:val="18"/>
              </w:rPr>
              <w:t>4</w:t>
            </w:r>
          </w:p>
        </w:tc>
        <w:tc>
          <w:tcPr>
            <w:tcW w:w="3180" w:type="dxa"/>
            <w:tcMar>
              <w:top w:w="0" w:type="dxa"/>
              <w:bottom w:w="0" w:type="dxa"/>
            </w:tcMar>
            <w:vAlign w:val="center"/>
          </w:tcPr>
          <w:p w14:paraId="0D20596B" w14:textId="77777777" w:rsidR="00EC0600" w:rsidRDefault="003F683D">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2D132474" w14:textId="77777777" w:rsidR="00EC0600" w:rsidRDefault="003F683D">
            <w:pPr>
              <w:keepNext/>
              <w:keepLines/>
              <w:spacing w:after="0" w:line="240" w:lineRule="auto"/>
            </w:pPr>
            <w:r>
              <w:rPr>
                <w:sz w:val="18"/>
              </w:rPr>
              <w:t>4</w:t>
            </w:r>
          </w:p>
        </w:tc>
        <w:tc>
          <w:tcPr>
            <w:tcW w:w="1860" w:type="dxa"/>
            <w:tcMar>
              <w:top w:w="0" w:type="dxa"/>
              <w:bottom w:w="0" w:type="dxa"/>
            </w:tcMar>
            <w:vAlign w:val="center"/>
          </w:tcPr>
          <w:p w14:paraId="526A5406" w14:textId="77777777" w:rsidR="00EC0600" w:rsidRDefault="003F683D">
            <w:pPr>
              <w:keepNext/>
              <w:keepLines/>
              <w:spacing w:after="0" w:line="240" w:lineRule="auto"/>
              <w:jc w:val="right"/>
            </w:pPr>
            <w:r>
              <w:rPr>
                <w:sz w:val="18"/>
              </w:rPr>
              <w:t>125.286,18</w:t>
            </w:r>
          </w:p>
        </w:tc>
        <w:tc>
          <w:tcPr>
            <w:tcW w:w="1860" w:type="dxa"/>
            <w:tcMar>
              <w:top w:w="0" w:type="dxa"/>
              <w:bottom w:w="0" w:type="dxa"/>
            </w:tcMar>
            <w:vAlign w:val="center"/>
          </w:tcPr>
          <w:p w14:paraId="54265ADF" w14:textId="77777777" w:rsidR="00EC0600" w:rsidRDefault="003F683D">
            <w:pPr>
              <w:keepNext/>
              <w:keepLines/>
              <w:spacing w:after="0" w:line="240" w:lineRule="auto"/>
              <w:jc w:val="right"/>
            </w:pPr>
            <w:r>
              <w:rPr>
                <w:sz w:val="18"/>
              </w:rPr>
              <w:t>51.153,53</w:t>
            </w:r>
          </w:p>
        </w:tc>
        <w:tc>
          <w:tcPr>
            <w:tcW w:w="700" w:type="dxa"/>
            <w:tcMar>
              <w:top w:w="0" w:type="dxa"/>
              <w:bottom w:w="0" w:type="dxa"/>
            </w:tcMar>
            <w:vAlign w:val="center"/>
          </w:tcPr>
          <w:p w14:paraId="5E78FE0B" w14:textId="77777777" w:rsidR="00EC0600" w:rsidRDefault="003F683D">
            <w:pPr>
              <w:keepNext/>
              <w:keepLines/>
              <w:spacing w:after="0" w:line="240" w:lineRule="auto"/>
              <w:jc w:val="right"/>
            </w:pPr>
            <w:r>
              <w:rPr>
                <w:sz w:val="18"/>
              </w:rPr>
              <w:t>40,8</w:t>
            </w:r>
          </w:p>
        </w:tc>
      </w:tr>
    </w:tbl>
    <w:p w14:paraId="1A1B058B" w14:textId="77777777" w:rsidR="00EC0600" w:rsidRDefault="00EC0600">
      <w:pPr>
        <w:spacing w:after="0"/>
      </w:pPr>
    </w:p>
    <w:p w14:paraId="19B07154" w14:textId="77777777" w:rsidR="00EC0600" w:rsidRDefault="003F683D">
      <w:r>
        <w:t>Rashodi za nabavu nefinancijske imovine odnose se na opremanje predavaonica i ureda u iznosu od 44.517,69 EUR. U 2025. godini investirano je 6.835,84 EUR-a u nabavu novih knjiga za knjižnicu.</w:t>
      </w:r>
    </w:p>
    <w:p w14:paraId="20F8501A" w14:textId="77777777" w:rsidR="00EC0600" w:rsidRDefault="00EC0600"/>
    <w:p w14:paraId="7125ABD7" w14:textId="77777777" w:rsidR="00EC0600" w:rsidRDefault="003F683D">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3AF177AC" w14:textId="77777777">
        <w:trPr>
          <w:cantSplit/>
        </w:trPr>
        <w:tc>
          <w:tcPr>
            <w:tcW w:w="700" w:type="dxa"/>
            <w:shd w:val="clear" w:color="auto" w:fill="E7F0F9"/>
            <w:tcMar>
              <w:top w:w="0" w:type="dxa"/>
              <w:bottom w:w="0" w:type="dxa"/>
            </w:tcMar>
            <w:vAlign w:val="center"/>
          </w:tcPr>
          <w:p w14:paraId="4D3E525D"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AEA8BFB"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08FFFD"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B5164A7"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C8F290C"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2664AF" w14:textId="77777777" w:rsidR="00EC0600" w:rsidRDefault="003F683D">
            <w:pPr>
              <w:keepNext/>
              <w:keepLines/>
              <w:spacing w:after="0" w:line="240" w:lineRule="auto"/>
              <w:jc w:val="center"/>
            </w:pPr>
            <w:r>
              <w:rPr>
                <w:b/>
                <w:sz w:val="18"/>
              </w:rPr>
              <w:t>Indeks (%)</w:t>
            </w:r>
          </w:p>
        </w:tc>
      </w:tr>
      <w:tr w:rsidR="00EC0600" w14:paraId="7DF0F369" w14:textId="77777777">
        <w:trPr>
          <w:cantSplit/>
          <w:trHeight w:val="560"/>
        </w:trPr>
        <w:tc>
          <w:tcPr>
            <w:tcW w:w="700" w:type="dxa"/>
            <w:tcMar>
              <w:top w:w="0" w:type="dxa"/>
              <w:bottom w:w="0" w:type="dxa"/>
            </w:tcMar>
            <w:vAlign w:val="center"/>
          </w:tcPr>
          <w:p w14:paraId="5C88E31D" w14:textId="77777777" w:rsidR="00EC0600" w:rsidRDefault="00EC0600">
            <w:pPr>
              <w:keepNext/>
              <w:keepLines/>
              <w:spacing w:after="0" w:line="240" w:lineRule="auto"/>
            </w:pPr>
          </w:p>
        </w:tc>
        <w:tc>
          <w:tcPr>
            <w:tcW w:w="3180" w:type="dxa"/>
            <w:tcMar>
              <w:top w:w="0" w:type="dxa"/>
              <w:bottom w:w="0" w:type="dxa"/>
            </w:tcMar>
            <w:vAlign w:val="center"/>
          </w:tcPr>
          <w:p w14:paraId="0A7DC361" w14:textId="77777777" w:rsidR="00EC0600" w:rsidRDefault="003F683D">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15BD0CAC" w14:textId="77777777" w:rsidR="00EC0600" w:rsidRDefault="003F683D">
            <w:pPr>
              <w:keepNext/>
              <w:keepLines/>
              <w:spacing w:after="0" w:line="240" w:lineRule="auto"/>
            </w:pPr>
            <w:r>
              <w:rPr>
                <w:sz w:val="18"/>
              </w:rPr>
              <w:t>Y002</w:t>
            </w:r>
          </w:p>
        </w:tc>
        <w:tc>
          <w:tcPr>
            <w:tcW w:w="1860" w:type="dxa"/>
            <w:tcMar>
              <w:top w:w="0" w:type="dxa"/>
              <w:bottom w:w="0" w:type="dxa"/>
            </w:tcMar>
            <w:vAlign w:val="center"/>
          </w:tcPr>
          <w:p w14:paraId="109BF150" w14:textId="77777777" w:rsidR="00EC0600" w:rsidRDefault="003F683D">
            <w:pPr>
              <w:keepNext/>
              <w:keepLines/>
              <w:spacing w:after="0" w:line="240" w:lineRule="auto"/>
              <w:jc w:val="right"/>
            </w:pPr>
            <w:r>
              <w:rPr>
                <w:sz w:val="18"/>
              </w:rPr>
              <w:t>123.619,52</w:t>
            </w:r>
          </w:p>
        </w:tc>
        <w:tc>
          <w:tcPr>
            <w:tcW w:w="1860" w:type="dxa"/>
            <w:tcMar>
              <w:top w:w="0" w:type="dxa"/>
              <w:bottom w:w="0" w:type="dxa"/>
            </w:tcMar>
            <w:vAlign w:val="center"/>
          </w:tcPr>
          <w:p w14:paraId="498540D6" w14:textId="77777777" w:rsidR="00EC0600" w:rsidRDefault="003F683D">
            <w:pPr>
              <w:keepNext/>
              <w:keepLines/>
              <w:spacing w:after="0" w:line="240" w:lineRule="auto"/>
              <w:jc w:val="right"/>
            </w:pPr>
            <w:r>
              <w:rPr>
                <w:sz w:val="18"/>
              </w:rPr>
              <w:t>51.153,53</w:t>
            </w:r>
          </w:p>
        </w:tc>
        <w:tc>
          <w:tcPr>
            <w:tcW w:w="700" w:type="dxa"/>
            <w:tcMar>
              <w:top w:w="0" w:type="dxa"/>
              <w:bottom w:w="0" w:type="dxa"/>
            </w:tcMar>
            <w:vAlign w:val="center"/>
          </w:tcPr>
          <w:p w14:paraId="1815231E" w14:textId="77777777" w:rsidR="00EC0600" w:rsidRDefault="003F683D">
            <w:pPr>
              <w:keepNext/>
              <w:keepLines/>
              <w:spacing w:after="0" w:line="240" w:lineRule="auto"/>
              <w:jc w:val="right"/>
            </w:pPr>
            <w:r>
              <w:rPr>
                <w:sz w:val="18"/>
              </w:rPr>
              <w:t>41,4</w:t>
            </w:r>
          </w:p>
        </w:tc>
      </w:tr>
    </w:tbl>
    <w:p w14:paraId="1FB70838" w14:textId="77777777" w:rsidR="00EC0600" w:rsidRDefault="00EC0600">
      <w:pPr>
        <w:spacing w:after="0"/>
      </w:pPr>
    </w:p>
    <w:p w14:paraId="4BC31699" w14:textId="77777777" w:rsidR="00EC0600" w:rsidRDefault="003F683D">
      <w:r>
        <w:t>U 2025.godini nismo imali prihod od nefinancijske imovine, te stoga bilježimo manjak prihoda za iznos od 51.153,53 EUR-a novonabavljene nefinancijske imovine.</w:t>
      </w:r>
    </w:p>
    <w:p w14:paraId="1646C5A6" w14:textId="77777777" w:rsidR="00EC0600" w:rsidRDefault="00EC0600"/>
    <w:p w14:paraId="34193185" w14:textId="77777777" w:rsidR="00EC0600" w:rsidRDefault="003F683D">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26C2BED1" w14:textId="77777777">
        <w:trPr>
          <w:cantSplit/>
        </w:trPr>
        <w:tc>
          <w:tcPr>
            <w:tcW w:w="700" w:type="dxa"/>
            <w:shd w:val="clear" w:color="auto" w:fill="E7F0F9"/>
            <w:tcMar>
              <w:top w:w="0" w:type="dxa"/>
              <w:bottom w:w="0" w:type="dxa"/>
            </w:tcMar>
            <w:vAlign w:val="center"/>
          </w:tcPr>
          <w:p w14:paraId="458D8858"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1B46751"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0EC75FA"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A76D2B5"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B7E5041"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D9BA08" w14:textId="77777777" w:rsidR="00EC0600" w:rsidRDefault="003F683D">
            <w:pPr>
              <w:keepNext/>
              <w:keepLines/>
              <w:spacing w:after="0" w:line="240" w:lineRule="auto"/>
              <w:jc w:val="center"/>
            </w:pPr>
            <w:r>
              <w:rPr>
                <w:b/>
                <w:sz w:val="18"/>
              </w:rPr>
              <w:t>Indeks (%)</w:t>
            </w:r>
          </w:p>
        </w:tc>
      </w:tr>
      <w:tr w:rsidR="00EC0600" w14:paraId="79DFA90D" w14:textId="77777777">
        <w:trPr>
          <w:cantSplit/>
          <w:trHeight w:val="560"/>
        </w:trPr>
        <w:tc>
          <w:tcPr>
            <w:tcW w:w="700" w:type="dxa"/>
            <w:tcMar>
              <w:top w:w="0" w:type="dxa"/>
              <w:bottom w:w="0" w:type="dxa"/>
            </w:tcMar>
            <w:vAlign w:val="center"/>
          </w:tcPr>
          <w:p w14:paraId="181F1FB6" w14:textId="77777777" w:rsidR="00EC0600" w:rsidRDefault="003F683D">
            <w:pPr>
              <w:keepNext/>
              <w:keepLines/>
              <w:spacing w:after="0" w:line="240" w:lineRule="auto"/>
            </w:pPr>
            <w:r>
              <w:rPr>
                <w:sz w:val="18"/>
              </w:rPr>
              <w:t>544</w:t>
            </w:r>
          </w:p>
        </w:tc>
        <w:tc>
          <w:tcPr>
            <w:tcW w:w="3180" w:type="dxa"/>
            <w:tcMar>
              <w:top w:w="0" w:type="dxa"/>
              <w:bottom w:w="0" w:type="dxa"/>
            </w:tcMar>
            <w:vAlign w:val="center"/>
          </w:tcPr>
          <w:p w14:paraId="7D103D0A" w14:textId="77777777" w:rsidR="00EC0600" w:rsidRDefault="003F683D">
            <w:pPr>
              <w:keepNext/>
              <w:keepLines/>
              <w:spacing w:after="0" w:line="240" w:lineRule="auto"/>
            </w:pPr>
            <w:r>
              <w:rPr>
                <w:sz w:val="18"/>
              </w:rPr>
              <w:t>Otplata glavnice primljenih kredita i zajmova od kreditnih i ostalih financijskih institucija izvan javnog sektora (šifre 5443 do 5448)</w:t>
            </w:r>
          </w:p>
        </w:tc>
        <w:tc>
          <w:tcPr>
            <w:tcW w:w="700" w:type="dxa"/>
            <w:tcMar>
              <w:top w:w="0" w:type="dxa"/>
              <w:bottom w:w="0" w:type="dxa"/>
            </w:tcMar>
            <w:vAlign w:val="center"/>
          </w:tcPr>
          <w:p w14:paraId="7302A41D" w14:textId="77777777" w:rsidR="00EC0600" w:rsidRDefault="003F683D">
            <w:pPr>
              <w:keepNext/>
              <w:keepLines/>
              <w:spacing w:after="0" w:line="240" w:lineRule="auto"/>
            </w:pPr>
            <w:r>
              <w:rPr>
                <w:sz w:val="18"/>
              </w:rPr>
              <w:t>544</w:t>
            </w:r>
          </w:p>
        </w:tc>
        <w:tc>
          <w:tcPr>
            <w:tcW w:w="1860" w:type="dxa"/>
            <w:tcMar>
              <w:top w:w="0" w:type="dxa"/>
              <w:bottom w:w="0" w:type="dxa"/>
            </w:tcMar>
            <w:vAlign w:val="center"/>
          </w:tcPr>
          <w:p w14:paraId="475ED390" w14:textId="77777777" w:rsidR="00EC0600" w:rsidRDefault="003F683D">
            <w:pPr>
              <w:keepNext/>
              <w:keepLines/>
              <w:spacing w:after="0" w:line="240" w:lineRule="auto"/>
              <w:jc w:val="right"/>
            </w:pPr>
            <w:r>
              <w:rPr>
                <w:sz w:val="18"/>
              </w:rPr>
              <w:t>0,00</w:t>
            </w:r>
          </w:p>
        </w:tc>
        <w:tc>
          <w:tcPr>
            <w:tcW w:w="1860" w:type="dxa"/>
            <w:tcMar>
              <w:top w:w="0" w:type="dxa"/>
              <w:bottom w:w="0" w:type="dxa"/>
            </w:tcMar>
            <w:vAlign w:val="center"/>
          </w:tcPr>
          <w:p w14:paraId="1BE70BDD" w14:textId="77777777" w:rsidR="00EC0600" w:rsidRDefault="003F683D">
            <w:pPr>
              <w:keepNext/>
              <w:keepLines/>
              <w:spacing w:after="0" w:line="240" w:lineRule="auto"/>
              <w:jc w:val="right"/>
            </w:pPr>
            <w:r>
              <w:rPr>
                <w:sz w:val="18"/>
              </w:rPr>
              <w:t>8.745,69</w:t>
            </w:r>
          </w:p>
        </w:tc>
        <w:tc>
          <w:tcPr>
            <w:tcW w:w="700" w:type="dxa"/>
            <w:tcMar>
              <w:top w:w="0" w:type="dxa"/>
              <w:bottom w:w="0" w:type="dxa"/>
            </w:tcMar>
            <w:vAlign w:val="center"/>
          </w:tcPr>
          <w:p w14:paraId="09BEDAE1" w14:textId="77777777" w:rsidR="00EC0600" w:rsidRDefault="003F683D">
            <w:pPr>
              <w:keepNext/>
              <w:keepLines/>
              <w:spacing w:after="0" w:line="240" w:lineRule="auto"/>
              <w:jc w:val="right"/>
            </w:pPr>
            <w:r>
              <w:rPr>
                <w:sz w:val="18"/>
              </w:rPr>
              <w:t>-</w:t>
            </w:r>
          </w:p>
        </w:tc>
      </w:tr>
    </w:tbl>
    <w:p w14:paraId="14654439" w14:textId="77777777" w:rsidR="00EC0600" w:rsidRDefault="00EC0600">
      <w:pPr>
        <w:spacing w:after="0"/>
      </w:pPr>
    </w:p>
    <w:p w14:paraId="0BF6F2C9" w14:textId="77777777" w:rsidR="00EC0600" w:rsidRDefault="003F683D">
      <w:pPr>
        <w:jc w:val="both"/>
      </w:pPr>
      <w:r>
        <w:t>U prosincu 2024. nabavljen je osobni automobil putem Ugovora o financijskom leasingu vrijednosti 27.975,53 EUR-a, te se izdatak od 8.745,69 EUR odnosi na otplatu glavnice za isti.</w:t>
      </w:r>
    </w:p>
    <w:p w14:paraId="1BCCC5B7" w14:textId="77777777" w:rsidR="00EC0600" w:rsidRDefault="00EC0600"/>
    <w:p w14:paraId="19C9B5E7" w14:textId="77777777" w:rsidR="00EC0600" w:rsidRDefault="003F683D">
      <w:pPr>
        <w:keepNext/>
        <w:spacing w:line="240" w:lineRule="auto"/>
        <w:jc w:val="center"/>
      </w:pPr>
      <w:r>
        <w:rPr>
          <w:sz w:val="28"/>
        </w:rPr>
        <w:lastRenderedPageBreak/>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46A1E16E" w14:textId="77777777">
        <w:trPr>
          <w:cantSplit/>
        </w:trPr>
        <w:tc>
          <w:tcPr>
            <w:tcW w:w="700" w:type="dxa"/>
            <w:shd w:val="clear" w:color="auto" w:fill="E7F0F9"/>
            <w:tcMar>
              <w:top w:w="0" w:type="dxa"/>
              <w:bottom w:w="0" w:type="dxa"/>
            </w:tcMar>
            <w:vAlign w:val="center"/>
          </w:tcPr>
          <w:p w14:paraId="6A543023"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AC7AB06"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F8C5C5"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C7E013"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EBF3A6"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EEEA5D" w14:textId="77777777" w:rsidR="00EC0600" w:rsidRDefault="003F683D">
            <w:pPr>
              <w:keepNext/>
              <w:keepLines/>
              <w:spacing w:after="0" w:line="240" w:lineRule="auto"/>
              <w:jc w:val="center"/>
            </w:pPr>
            <w:r>
              <w:rPr>
                <w:b/>
                <w:sz w:val="18"/>
              </w:rPr>
              <w:t>Indeks (%)</w:t>
            </w:r>
          </w:p>
        </w:tc>
      </w:tr>
      <w:tr w:rsidR="00EC0600" w14:paraId="605969F0" w14:textId="77777777">
        <w:trPr>
          <w:cantSplit/>
          <w:trHeight w:val="560"/>
        </w:trPr>
        <w:tc>
          <w:tcPr>
            <w:tcW w:w="700" w:type="dxa"/>
            <w:tcMar>
              <w:top w:w="0" w:type="dxa"/>
              <w:bottom w:w="0" w:type="dxa"/>
            </w:tcMar>
            <w:vAlign w:val="center"/>
          </w:tcPr>
          <w:p w14:paraId="4B5210B4" w14:textId="77777777" w:rsidR="00EC0600" w:rsidRDefault="00EC0600">
            <w:pPr>
              <w:keepNext/>
              <w:keepLines/>
              <w:spacing w:after="0" w:line="240" w:lineRule="auto"/>
            </w:pPr>
          </w:p>
        </w:tc>
        <w:tc>
          <w:tcPr>
            <w:tcW w:w="3180" w:type="dxa"/>
            <w:tcMar>
              <w:top w:w="0" w:type="dxa"/>
              <w:bottom w:w="0" w:type="dxa"/>
            </w:tcMar>
            <w:vAlign w:val="center"/>
          </w:tcPr>
          <w:p w14:paraId="265797C4" w14:textId="77777777" w:rsidR="00EC0600" w:rsidRDefault="003F683D">
            <w:pPr>
              <w:keepNext/>
              <w:keepLines/>
              <w:spacing w:after="0" w:line="240" w:lineRule="auto"/>
            </w:pPr>
            <w:r>
              <w:rPr>
                <w:sz w:val="18"/>
              </w:rPr>
              <w:t>MANJAK PRIMITAKA OD FINANCIJSKE IMOVINE I ZADUŽIVANJA (šifre 5-8)</w:t>
            </w:r>
          </w:p>
        </w:tc>
        <w:tc>
          <w:tcPr>
            <w:tcW w:w="700" w:type="dxa"/>
            <w:tcMar>
              <w:top w:w="0" w:type="dxa"/>
              <w:bottom w:w="0" w:type="dxa"/>
            </w:tcMar>
            <w:vAlign w:val="center"/>
          </w:tcPr>
          <w:p w14:paraId="096613E5" w14:textId="77777777" w:rsidR="00EC0600" w:rsidRDefault="003F683D">
            <w:pPr>
              <w:keepNext/>
              <w:keepLines/>
              <w:spacing w:after="0" w:line="240" w:lineRule="auto"/>
            </w:pPr>
            <w:r>
              <w:rPr>
                <w:sz w:val="18"/>
              </w:rPr>
              <w:t>Y003</w:t>
            </w:r>
          </w:p>
        </w:tc>
        <w:tc>
          <w:tcPr>
            <w:tcW w:w="1860" w:type="dxa"/>
            <w:tcMar>
              <w:top w:w="0" w:type="dxa"/>
              <w:bottom w:w="0" w:type="dxa"/>
            </w:tcMar>
            <w:vAlign w:val="center"/>
          </w:tcPr>
          <w:p w14:paraId="2C15FBEE" w14:textId="77777777" w:rsidR="00EC0600" w:rsidRDefault="003F683D">
            <w:pPr>
              <w:keepNext/>
              <w:keepLines/>
              <w:spacing w:after="0" w:line="240" w:lineRule="auto"/>
              <w:jc w:val="right"/>
            </w:pPr>
            <w:r>
              <w:rPr>
                <w:sz w:val="18"/>
              </w:rPr>
              <w:t>0,00</w:t>
            </w:r>
          </w:p>
        </w:tc>
        <w:tc>
          <w:tcPr>
            <w:tcW w:w="1860" w:type="dxa"/>
            <w:tcMar>
              <w:top w:w="0" w:type="dxa"/>
              <w:bottom w:w="0" w:type="dxa"/>
            </w:tcMar>
            <w:vAlign w:val="center"/>
          </w:tcPr>
          <w:p w14:paraId="626E94BA" w14:textId="77777777" w:rsidR="00EC0600" w:rsidRDefault="003F683D">
            <w:pPr>
              <w:keepNext/>
              <w:keepLines/>
              <w:spacing w:after="0" w:line="240" w:lineRule="auto"/>
              <w:jc w:val="right"/>
            </w:pPr>
            <w:r>
              <w:rPr>
                <w:sz w:val="18"/>
              </w:rPr>
              <w:t>8.745,69</w:t>
            </w:r>
          </w:p>
        </w:tc>
        <w:tc>
          <w:tcPr>
            <w:tcW w:w="700" w:type="dxa"/>
            <w:tcMar>
              <w:top w:w="0" w:type="dxa"/>
              <w:bottom w:w="0" w:type="dxa"/>
            </w:tcMar>
            <w:vAlign w:val="center"/>
          </w:tcPr>
          <w:p w14:paraId="474C9769" w14:textId="77777777" w:rsidR="00EC0600" w:rsidRDefault="003F683D">
            <w:pPr>
              <w:keepNext/>
              <w:keepLines/>
              <w:spacing w:after="0" w:line="240" w:lineRule="auto"/>
              <w:jc w:val="right"/>
            </w:pPr>
            <w:r>
              <w:rPr>
                <w:sz w:val="18"/>
              </w:rPr>
              <w:t>-</w:t>
            </w:r>
          </w:p>
        </w:tc>
      </w:tr>
    </w:tbl>
    <w:p w14:paraId="61421160" w14:textId="77777777" w:rsidR="00EC0600" w:rsidRDefault="00EC0600">
      <w:pPr>
        <w:spacing w:after="0"/>
      </w:pPr>
    </w:p>
    <w:p w14:paraId="3EA16D03" w14:textId="77777777" w:rsidR="00EC0600" w:rsidRDefault="003F683D">
      <w:r>
        <w:t>U 2025.godini bilježimo manjak primitika od financijske imovine u iznosu od 8.745,69 EUR-a koji se odnosi na iznos otplaćene glavnice financijskog leasinga.</w:t>
      </w:r>
    </w:p>
    <w:p w14:paraId="51DFDD76" w14:textId="77777777" w:rsidR="00EC0600" w:rsidRDefault="00EC0600"/>
    <w:p w14:paraId="143FDBC0" w14:textId="77777777" w:rsidR="00EC0600" w:rsidRDefault="003F683D">
      <w:pPr>
        <w:keepNext/>
        <w:spacing w:line="240" w:lineRule="auto"/>
        <w:jc w:val="center"/>
      </w:pPr>
      <w:r>
        <w:rPr>
          <w:b/>
          <w:sz w:val="28"/>
        </w:rPr>
        <w:t>Bilanca</w:t>
      </w:r>
    </w:p>
    <w:p w14:paraId="70DE0D18" w14:textId="77777777" w:rsidR="00EC0600" w:rsidRDefault="003F683D">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5F11EB12" w14:textId="77777777">
        <w:trPr>
          <w:cantSplit/>
        </w:trPr>
        <w:tc>
          <w:tcPr>
            <w:tcW w:w="700" w:type="dxa"/>
            <w:shd w:val="clear" w:color="auto" w:fill="E7F0F9"/>
            <w:tcMar>
              <w:top w:w="0" w:type="dxa"/>
              <w:bottom w:w="0" w:type="dxa"/>
            </w:tcMar>
            <w:vAlign w:val="center"/>
          </w:tcPr>
          <w:p w14:paraId="11A94257"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62B762"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721F1C8"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C4574ED"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FA377D3"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389751" w14:textId="77777777" w:rsidR="00EC0600" w:rsidRDefault="003F683D">
            <w:pPr>
              <w:keepNext/>
              <w:keepLines/>
              <w:spacing w:after="0" w:line="240" w:lineRule="auto"/>
              <w:jc w:val="center"/>
            </w:pPr>
            <w:r>
              <w:rPr>
                <w:b/>
                <w:sz w:val="18"/>
              </w:rPr>
              <w:t>Indeks (%)</w:t>
            </w:r>
          </w:p>
        </w:tc>
      </w:tr>
      <w:tr w:rsidR="00EC0600" w14:paraId="49D482A0" w14:textId="77777777">
        <w:trPr>
          <w:cantSplit/>
          <w:trHeight w:val="560"/>
        </w:trPr>
        <w:tc>
          <w:tcPr>
            <w:tcW w:w="700" w:type="dxa"/>
            <w:tcMar>
              <w:top w:w="0" w:type="dxa"/>
              <w:bottom w:w="0" w:type="dxa"/>
            </w:tcMar>
            <w:vAlign w:val="center"/>
          </w:tcPr>
          <w:p w14:paraId="4D73F9EA" w14:textId="77777777" w:rsidR="00EC0600" w:rsidRDefault="00EC0600">
            <w:pPr>
              <w:keepNext/>
              <w:keepLines/>
              <w:spacing w:after="0" w:line="240" w:lineRule="auto"/>
            </w:pPr>
          </w:p>
        </w:tc>
        <w:tc>
          <w:tcPr>
            <w:tcW w:w="3180" w:type="dxa"/>
            <w:tcMar>
              <w:top w:w="0" w:type="dxa"/>
              <w:bottom w:w="0" w:type="dxa"/>
            </w:tcMar>
            <w:vAlign w:val="center"/>
          </w:tcPr>
          <w:p w14:paraId="754760D1" w14:textId="77777777" w:rsidR="00EC0600" w:rsidRDefault="003F683D">
            <w:pPr>
              <w:keepNext/>
              <w:keepLines/>
              <w:spacing w:after="0" w:line="240" w:lineRule="auto"/>
            </w:pPr>
            <w:r>
              <w:rPr>
                <w:sz w:val="18"/>
              </w:rPr>
              <w:t>IMOVINA (šifre B002+1)</w:t>
            </w:r>
          </w:p>
        </w:tc>
        <w:tc>
          <w:tcPr>
            <w:tcW w:w="700" w:type="dxa"/>
            <w:tcMar>
              <w:top w:w="0" w:type="dxa"/>
              <w:bottom w:w="0" w:type="dxa"/>
            </w:tcMar>
            <w:vAlign w:val="center"/>
          </w:tcPr>
          <w:p w14:paraId="4E5A37D2" w14:textId="77777777" w:rsidR="00EC0600" w:rsidRDefault="003F683D">
            <w:pPr>
              <w:keepNext/>
              <w:keepLines/>
              <w:spacing w:after="0" w:line="240" w:lineRule="auto"/>
            </w:pPr>
            <w:r>
              <w:rPr>
                <w:sz w:val="18"/>
              </w:rPr>
              <w:t>B001</w:t>
            </w:r>
          </w:p>
        </w:tc>
        <w:tc>
          <w:tcPr>
            <w:tcW w:w="1860" w:type="dxa"/>
            <w:tcMar>
              <w:top w:w="0" w:type="dxa"/>
              <w:bottom w:w="0" w:type="dxa"/>
            </w:tcMar>
            <w:vAlign w:val="center"/>
          </w:tcPr>
          <w:p w14:paraId="761C63E7" w14:textId="77777777" w:rsidR="00EC0600" w:rsidRDefault="003F683D">
            <w:pPr>
              <w:keepNext/>
              <w:keepLines/>
              <w:spacing w:after="0" w:line="240" w:lineRule="auto"/>
              <w:jc w:val="right"/>
            </w:pPr>
            <w:r>
              <w:rPr>
                <w:sz w:val="18"/>
              </w:rPr>
              <w:t>20.347.532,53</w:t>
            </w:r>
          </w:p>
        </w:tc>
        <w:tc>
          <w:tcPr>
            <w:tcW w:w="1860" w:type="dxa"/>
            <w:tcMar>
              <w:top w:w="0" w:type="dxa"/>
              <w:bottom w:w="0" w:type="dxa"/>
            </w:tcMar>
            <w:vAlign w:val="center"/>
          </w:tcPr>
          <w:p w14:paraId="3A319559" w14:textId="77777777" w:rsidR="00EC0600" w:rsidRDefault="003F683D">
            <w:pPr>
              <w:keepNext/>
              <w:keepLines/>
              <w:spacing w:after="0" w:line="240" w:lineRule="auto"/>
              <w:jc w:val="right"/>
            </w:pPr>
            <w:r>
              <w:rPr>
                <w:sz w:val="18"/>
              </w:rPr>
              <w:t>19.942.094,19</w:t>
            </w:r>
          </w:p>
        </w:tc>
        <w:tc>
          <w:tcPr>
            <w:tcW w:w="700" w:type="dxa"/>
            <w:tcMar>
              <w:top w:w="0" w:type="dxa"/>
              <w:bottom w:w="0" w:type="dxa"/>
            </w:tcMar>
            <w:vAlign w:val="center"/>
          </w:tcPr>
          <w:p w14:paraId="1B3B37B3" w14:textId="77777777" w:rsidR="00EC0600" w:rsidRDefault="003F683D">
            <w:pPr>
              <w:keepNext/>
              <w:keepLines/>
              <w:spacing w:after="0" w:line="240" w:lineRule="auto"/>
              <w:jc w:val="right"/>
            </w:pPr>
            <w:r>
              <w:rPr>
                <w:sz w:val="18"/>
              </w:rPr>
              <w:t>98,0</w:t>
            </w:r>
          </w:p>
        </w:tc>
      </w:tr>
    </w:tbl>
    <w:p w14:paraId="78A42198" w14:textId="77777777" w:rsidR="00EC0600" w:rsidRDefault="00EC0600">
      <w:pPr>
        <w:spacing w:after="0"/>
      </w:pPr>
    </w:p>
    <w:p w14:paraId="4BA9AC85" w14:textId="77777777" w:rsidR="00EC0600" w:rsidRDefault="003F683D">
      <w:pPr>
        <w:jc w:val="both"/>
      </w:pPr>
      <w:r>
        <w:t>U 2025. godini nabavljeno je prijenosnih računala u vrijednosti 9.859,38 EUR-a, tv prijemnika u vrijednosti 1.312,50 EUR-a, telefona i mobilnih uređaja u iznosu od 2.508,73EUR-a, uredskog i namještaja za učionice u iznosu od 22.462,50 EUR-a, opreme za grijanje i hlađenje 2.263,68 EUR-a, ostale informatičke opreme u iznosu 616,00 EUR-a, usisavač u vrijednosti od 443,45 EUR-a, te rampa za parking u vrijednosti od 4.378,75 EUR. U toku 2025.godine aktiviran je namještaj za učionicu koji je na kraju 2024.godine ostao na kontu pripreme. Većina nabavljene opreme je postavljena u dvjema predavaonicama koje su kompletno renovirane. U toku 2025.godine nabavljeno je knjiga u vrijednosti 6.635,84 UR-a. </w:t>
      </w:r>
    </w:p>
    <w:p w14:paraId="474C3E29" w14:textId="77777777" w:rsidR="00EC0600" w:rsidRDefault="003F683D">
      <w:pPr>
        <w:jc w:val="both"/>
      </w:pPr>
      <w:r>
        <w:t>Rashodovanje imovine provedeno je prema inventurnim listama na dan 31.12.2025.godine. Obračun ispravka vrijendosti dugotrajne imovine vrši se po stopama propisanim Pravilnikom o proračunskom računovodstvu i računskom planu. </w:t>
      </w:r>
    </w:p>
    <w:p w14:paraId="52F98E8C" w14:textId="77777777" w:rsidR="00EC0600" w:rsidRDefault="00EC0600"/>
    <w:p w14:paraId="4ADE8107" w14:textId="77777777" w:rsidR="00EC0600" w:rsidRDefault="003F683D">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05DB762E" w14:textId="77777777">
        <w:trPr>
          <w:cantSplit/>
        </w:trPr>
        <w:tc>
          <w:tcPr>
            <w:tcW w:w="700" w:type="dxa"/>
            <w:shd w:val="clear" w:color="auto" w:fill="E7F0F9"/>
            <w:tcMar>
              <w:top w:w="0" w:type="dxa"/>
              <w:bottom w:w="0" w:type="dxa"/>
            </w:tcMar>
            <w:vAlign w:val="center"/>
          </w:tcPr>
          <w:p w14:paraId="5508C029"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C0BDD6"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C3F8585"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BF223CB"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35412D7"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B6391C2" w14:textId="77777777" w:rsidR="00EC0600" w:rsidRDefault="003F683D">
            <w:pPr>
              <w:keepNext/>
              <w:keepLines/>
              <w:spacing w:after="0" w:line="240" w:lineRule="auto"/>
              <w:jc w:val="center"/>
            </w:pPr>
            <w:r>
              <w:rPr>
                <w:b/>
                <w:sz w:val="18"/>
              </w:rPr>
              <w:t>Indeks (%)</w:t>
            </w:r>
          </w:p>
        </w:tc>
      </w:tr>
      <w:tr w:rsidR="00EC0600" w14:paraId="56447155" w14:textId="77777777">
        <w:trPr>
          <w:cantSplit/>
          <w:trHeight w:val="560"/>
        </w:trPr>
        <w:tc>
          <w:tcPr>
            <w:tcW w:w="700" w:type="dxa"/>
            <w:tcMar>
              <w:top w:w="0" w:type="dxa"/>
              <w:bottom w:w="0" w:type="dxa"/>
            </w:tcMar>
            <w:vAlign w:val="center"/>
          </w:tcPr>
          <w:p w14:paraId="4F5166C0" w14:textId="77777777" w:rsidR="00EC0600" w:rsidRDefault="003F683D">
            <w:pPr>
              <w:keepNext/>
              <w:keepLines/>
              <w:spacing w:after="0" w:line="240" w:lineRule="auto"/>
            </w:pPr>
            <w:r>
              <w:rPr>
                <w:sz w:val="18"/>
              </w:rPr>
              <w:t>11</w:t>
            </w:r>
          </w:p>
        </w:tc>
        <w:tc>
          <w:tcPr>
            <w:tcW w:w="3180" w:type="dxa"/>
            <w:tcMar>
              <w:top w:w="0" w:type="dxa"/>
              <w:bottom w:w="0" w:type="dxa"/>
            </w:tcMar>
            <w:vAlign w:val="center"/>
          </w:tcPr>
          <w:p w14:paraId="00DFBBC1" w14:textId="77777777" w:rsidR="00EC0600" w:rsidRDefault="003F683D">
            <w:pPr>
              <w:keepNext/>
              <w:keepLines/>
              <w:spacing w:after="0" w:line="240" w:lineRule="auto"/>
            </w:pPr>
            <w:r>
              <w:rPr>
                <w:sz w:val="18"/>
              </w:rPr>
              <w:t>Novac u banci i blagajni (šifre 111+112 do 114)</w:t>
            </w:r>
          </w:p>
        </w:tc>
        <w:tc>
          <w:tcPr>
            <w:tcW w:w="700" w:type="dxa"/>
            <w:tcMar>
              <w:top w:w="0" w:type="dxa"/>
              <w:bottom w:w="0" w:type="dxa"/>
            </w:tcMar>
            <w:vAlign w:val="center"/>
          </w:tcPr>
          <w:p w14:paraId="22329316" w14:textId="77777777" w:rsidR="00EC0600" w:rsidRDefault="003F683D">
            <w:pPr>
              <w:keepNext/>
              <w:keepLines/>
              <w:spacing w:after="0" w:line="240" w:lineRule="auto"/>
            </w:pPr>
            <w:r>
              <w:rPr>
                <w:sz w:val="18"/>
              </w:rPr>
              <w:t>11</w:t>
            </w:r>
          </w:p>
        </w:tc>
        <w:tc>
          <w:tcPr>
            <w:tcW w:w="1860" w:type="dxa"/>
            <w:tcMar>
              <w:top w:w="0" w:type="dxa"/>
              <w:bottom w:w="0" w:type="dxa"/>
            </w:tcMar>
            <w:vAlign w:val="center"/>
          </w:tcPr>
          <w:p w14:paraId="094180C6" w14:textId="77777777" w:rsidR="00EC0600" w:rsidRDefault="003F683D">
            <w:pPr>
              <w:keepNext/>
              <w:keepLines/>
              <w:spacing w:after="0" w:line="240" w:lineRule="auto"/>
              <w:jc w:val="right"/>
            </w:pPr>
            <w:r>
              <w:rPr>
                <w:sz w:val="18"/>
              </w:rPr>
              <w:t>357.702,60</w:t>
            </w:r>
          </w:p>
        </w:tc>
        <w:tc>
          <w:tcPr>
            <w:tcW w:w="1860" w:type="dxa"/>
            <w:tcMar>
              <w:top w:w="0" w:type="dxa"/>
              <w:bottom w:w="0" w:type="dxa"/>
            </w:tcMar>
            <w:vAlign w:val="center"/>
          </w:tcPr>
          <w:p w14:paraId="30F5D960" w14:textId="77777777" w:rsidR="00EC0600" w:rsidRDefault="003F683D">
            <w:pPr>
              <w:keepNext/>
              <w:keepLines/>
              <w:spacing w:after="0" w:line="240" w:lineRule="auto"/>
              <w:jc w:val="right"/>
            </w:pPr>
            <w:r>
              <w:rPr>
                <w:sz w:val="18"/>
              </w:rPr>
              <w:t>465.730,68</w:t>
            </w:r>
          </w:p>
        </w:tc>
        <w:tc>
          <w:tcPr>
            <w:tcW w:w="700" w:type="dxa"/>
            <w:tcMar>
              <w:top w:w="0" w:type="dxa"/>
              <w:bottom w:w="0" w:type="dxa"/>
            </w:tcMar>
            <w:vAlign w:val="center"/>
          </w:tcPr>
          <w:p w14:paraId="62A104DD" w14:textId="77777777" w:rsidR="00EC0600" w:rsidRDefault="003F683D">
            <w:pPr>
              <w:keepNext/>
              <w:keepLines/>
              <w:spacing w:after="0" w:line="240" w:lineRule="auto"/>
              <w:jc w:val="right"/>
            </w:pPr>
            <w:r>
              <w:rPr>
                <w:sz w:val="18"/>
              </w:rPr>
              <w:t>130,2</w:t>
            </w:r>
          </w:p>
        </w:tc>
      </w:tr>
    </w:tbl>
    <w:p w14:paraId="1ABCA059" w14:textId="77777777" w:rsidR="00EC0600" w:rsidRDefault="00EC0600">
      <w:pPr>
        <w:spacing w:after="0"/>
      </w:pPr>
    </w:p>
    <w:p w14:paraId="51604156" w14:textId="77777777" w:rsidR="00EC0600" w:rsidRDefault="003F683D">
      <w:pPr>
        <w:jc w:val="both"/>
      </w:pPr>
      <w:r>
        <w:t>Novčana sredstva su iskazana temeljem izvoda žiro-računa i gotovog novca u blagajni, te na dan 31.12.2025. ukupno iznose 465.730,68 EUR-a.</w:t>
      </w:r>
    </w:p>
    <w:p w14:paraId="74B75343" w14:textId="77777777" w:rsidR="00EC0600" w:rsidRDefault="003F683D">
      <w:pPr>
        <w:jc w:val="both"/>
      </w:pPr>
      <w:r>
        <w:t>Veleučilište je platni promet u 2025.g. obavljalo putem OTP banke d.d.</w:t>
      </w:r>
    </w:p>
    <w:p w14:paraId="38021512" w14:textId="77777777" w:rsidR="00EC0600" w:rsidRDefault="00EC0600"/>
    <w:p w14:paraId="42EF2463" w14:textId="77777777" w:rsidR="00EC0600" w:rsidRDefault="003F683D">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37579E1C" w14:textId="77777777">
        <w:trPr>
          <w:cantSplit/>
        </w:trPr>
        <w:tc>
          <w:tcPr>
            <w:tcW w:w="700" w:type="dxa"/>
            <w:shd w:val="clear" w:color="auto" w:fill="E7F0F9"/>
            <w:tcMar>
              <w:top w:w="0" w:type="dxa"/>
              <w:bottom w:w="0" w:type="dxa"/>
            </w:tcMar>
            <w:vAlign w:val="center"/>
          </w:tcPr>
          <w:p w14:paraId="6B53C36D"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77D2828"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7A4E3C"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184D7B"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16140EC"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3B048463" w14:textId="77777777" w:rsidR="00EC0600" w:rsidRDefault="003F683D">
            <w:pPr>
              <w:keepNext/>
              <w:keepLines/>
              <w:spacing w:after="0" w:line="240" w:lineRule="auto"/>
              <w:jc w:val="center"/>
            </w:pPr>
            <w:r>
              <w:rPr>
                <w:b/>
                <w:sz w:val="18"/>
              </w:rPr>
              <w:t>Indeks (%)</w:t>
            </w:r>
          </w:p>
        </w:tc>
      </w:tr>
      <w:tr w:rsidR="00EC0600" w14:paraId="0C05D927" w14:textId="77777777">
        <w:trPr>
          <w:cantSplit/>
          <w:trHeight w:val="560"/>
        </w:trPr>
        <w:tc>
          <w:tcPr>
            <w:tcW w:w="700" w:type="dxa"/>
            <w:tcMar>
              <w:top w:w="0" w:type="dxa"/>
              <w:bottom w:w="0" w:type="dxa"/>
            </w:tcMar>
            <w:vAlign w:val="center"/>
          </w:tcPr>
          <w:p w14:paraId="37597156" w14:textId="77777777" w:rsidR="00EC0600" w:rsidRDefault="003F683D">
            <w:pPr>
              <w:keepNext/>
              <w:keepLines/>
              <w:spacing w:after="0" w:line="240" w:lineRule="auto"/>
            </w:pPr>
            <w:r>
              <w:rPr>
                <w:sz w:val="18"/>
              </w:rPr>
              <w:t>12</w:t>
            </w:r>
          </w:p>
        </w:tc>
        <w:tc>
          <w:tcPr>
            <w:tcW w:w="3180" w:type="dxa"/>
            <w:tcMar>
              <w:top w:w="0" w:type="dxa"/>
              <w:bottom w:w="0" w:type="dxa"/>
            </w:tcMar>
            <w:vAlign w:val="center"/>
          </w:tcPr>
          <w:p w14:paraId="7D5DCFEC" w14:textId="77777777" w:rsidR="00EC0600" w:rsidRDefault="003F683D">
            <w:pPr>
              <w:keepNext/>
              <w:keepLines/>
              <w:spacing w:after="0" w:line="240" w:lineRule="auto"/>
            </w:pPr>
            <w:r>
              <w:rPr>
                <w:sz w:val="18"/>
              </w:rPr>
              <w:t>Potraživanja za jamčevne pologe, od zaposlenih te za više plaćene poreze i ostalo (šifre 122 do 124 - 125 + 129)</w:t>
            </w:r>
          </w:p>
        </w:tc>
        <w:tc>
          <w:tcPr>
            <w:tcW w:w="700" w:type="dxa"/>
            <w:tcMar>
              <w:top w:w="0" w:type="dxa"/>
              <w:bottom w:w="0" w:type="dxa"/>
            </w:tcMar>
            <w:vAlign w:val="center"/>
          </w:tcPr>
          <w:p w14:paraId="12FE8F37" w14:textId="77777777" w:rsidR="00EC0600" w:rsidRDefault="003F683D">
            <w:pPr>
              <w:keepNext/>
              <w:keepLines/>
              <w:spacing w:after="0" w:line="240" w:lineRule="auto"/>
            </w:pPr>
            <w:r>
              <w:rPr>
                <w:sz w:val="18"/>
              </w:rPr>
              <w:t>12</w:t>
            </w:r>
          </w:p>
        </w:tc>
        <w:tc>
          <w:tcPr>
            <w:tcW w:w="1860" w:type="dxa"/>
            <w:tcMar>
              <w:top w:w="0" w:type="dxa"/>
              <w:bottom w:w="0" w:type="dxa"/>
            </w:tcMar>
            <w:vAlign w:val="center"/>
          </w:tcPr>
          <w:p w14:paraId="4AC8FBD5" w14:textId="77777777" w:rsidR="00EC0600" w:rsidRDefault="003F683D">
            <w:pPr>
              <w:keepNext/>
              <w:keepLines/>
              <w:spacing w:after="0" w:line="240" w:lineRule="auto"/>
              <w:jc w:val="right"/>
            </w:pPr>
            <w:r>
              <w:rPr>
                <w:sz w:val="18"/>
              </w:rPr>
              <w:t>5.258,01</w:t>
            </w:r>
          </w:p>
        </w:tc>
        <w:tc>
          <w:tcPr>
            <w:tcW w:w="1860" w:type="dxa"/>
            <w:tcMar>
              <w:top w:w="0" w:type="dxa"/>
              <w:bottom w:w="0" w:type="dxa"/>
            </w:tcMar>
            <w:vAlign w:val="center"/>
          </w:tcPr>
          <w:p w14:paraId="1B7205D4" w14:textId="77777777" w:rsidR="00EC0600" w:rsidRDefault="003F683D">
            <w:pPr>
              <w:keepNext/>
              <w:keepLines/>
              <w:spacing w:after="0" w:line="240" w:lineRule="auto"/>
              <w:jc w:val="right"/>
            </w:pPr>
            <w:r>
              <w:rPr>
                <w:sz w:val="18"/>
              </w:rPr>
              <w:t>28.655,92</w:t>
            </w:r>
          </w:p>
        </w:tc>
        <w:tc>
          <w:tcPr>
            <w:tcW w:w="700" w:type="dxa"/>
            <w:tcMar>
              <w:top w:w="0" w:type="dxa"/>
              <w:bottom w:w="0" w:type="dxa"/>
            </w:tcMar>
            <w:vAlign w:val="center"/>
          </w:tcPr>
          <w:p w14:paraId="00565BA1" w14:textId="77777777" w:rsidR="00EC0600" w:rsidRDefault="003F683D">
            <w:pPr>
              <w:keepNext/>
              <w:keepLines/>
              <w:spacing w:after="0" w:line="240" w:lineRule="auto"/>
              <w:jc w:val="right"/>
            </w:pPr>
            <w:r>
              <w:rPr>
                <w:sz w:val="18"/>
              </w:rPr>
              <w:t>545,0</w:t>
            </w:r>
          </w:p>
        </w:tc>
      </w:tr>
    </w:tbl>
    <w:p w14:paraId="57686058" w14:textId="77777777" w:rsidR="00EC0600" w:rsidRDefault="00EC0600">
      <w:pPr>
        <w:spacing w:after="0"/>
      </w:pPr>
    </w:p>
    <w:p w14:paraId="5A44FA82" w14:textId="77777777" w:rsidR="00EC0600" w:rsidRDefault="003F683D">
      <w:pPr>
        <w:jc w:val="both"/>
      </w:pPr>
      <w:r>
        <w:t>Depoziti, jamčevni polozi i potraživanja od radnika i ostalo iskazano u bilanci u iznosu od 28.655,92 EUR-a (šifra 12) odnosi se na potraživanja za bolovanje preko 42 dana u iznosu od 3.106,14 EUR-a, te potraživanja za više plaćene poreze i doprinose u iznosu od 1.630,82 EUR-a, te na plaćene predujmove dobavljačima u iznosu od 23.918,96 EUR-a. Iznosom  predujma od 23.161,25 EUR-a plaćena su računala po ugovoru s dobavljačem Combis d.o.o. čija se isporuka očekuje u toku veljače 2026. godine.</w:t>
      </w:r>
    </w:p>
    <w:p w14:paraId="234B2306" w14:textId="77777777" w:rsidR="00EC0600" w:rsidRDefault="003F683D">
      <w:r>
        <w:t> </w:t>
      </w:r>
    </w:p>
    <w:p w14:paraId="148B4FD6" w14:textId="77777777" w:rsidR="00EC0600" w:rsidRDefault="00EC0600"/>
    <w:p w14:paraId="3F827020" w14:textId="77777777" w:rsidR="00EC0600" w:rsidRDefault="003F683D">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3C205E4E" w14:textId="77777777">
        <w:trPr>
          <w:cantSplit/>
        </w:trPr>
        <w:tc>
          <w:tcPr>
            <w:tcW w:w="700" w:type="dxa"/>
            <w:shd w:val="clear" w:color="auto" w:fill="E7F0F9"/>
            <w:tcMar>
              <w:top w:w="0" w:type="dxa"/>
              <w:bottom w:w="0" w:type="dxa"/>
            </w:tcMar>
            <w:vAlign w:val="center"/>
          </w:tcPr>
          <w:p w14:paraId="0A145BFD"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199CA7"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39B7ECB"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5C2091"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C5A26F4"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9953509" w14:textId="77777777" w:rsidR="00EC0600" w:rsidRDefault="003F683D">
            <w:pPr>
              <w:keepNext/>
              <w:keepLines/>
              <w:spacing w:after="0" w:line="240" w:lineRule="auto"/>
              <w:jc w:val="center"/>
            </w:pPr>
            <w:r>
              <w:rPr>
                <w:b/>
                <w:sz w:val="18"/>
              </w:rPr>
              <w:t>Indeks (%)</w:t>
            </w:r>
          </w:p>
        </w:tc>
      </w:tr>
      <w:tr w:rsidR="00EC0600" w14:paraId="039FA6F4" w14:textId="77777777">
        <w:trPr>
          <w:cantSplit/>
          <w:trHeight w:val="560"/>
        </w:trPr>
        <w:tc>
          <w:tcPr>
            <w:tcW w:w="700" w:type="dxa"/>
            <w:tcMar>
              <w:top w:w="0" w:type="dxa"/>
              <w:bottom w:w="0" w:type="dxa"/>
            </w:tcMar>
            <w:vAlign w:val="center"/>
          </w:tcPr>
          <w:p w14:paraId="40CEAD7A" w14:textId="77777777" w:rsidR="00EC0600" w:rsidRDefault="003F683D">
            <w:pPr>
              <w:keepNext/>
              <w:keepLines/>
              <w:spacing w:after="0" w:line="240" w:lineRule="auto"/>
            </w:pPr>
            <w:r>
              <w:rPr>
                <w:sz w:val="18"/>
              </w:rPr>
              <w:t>16</w:t>
            </w:r>
          </w:p>
        </w:tc>
        <w:tc>
          <w:tcPr>
            <w:tcW w:w="3180" w:type="dxa"/>
            <w:tcMar>
              <w:top w:w="0" w:type="dxa"/>
              <w:bottom w:w="0" w:type="dxa"/>
            </w:tcMar>
            <w:vAlign w:val="center"/>
          </w:tcPr>
          <w:p w14:paraId="53E204AD" w14:textId="77777777" w:rsidR="00EC0600" w:rsidRDefault="003F683D">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14:paraId="20DA3525" w14:textId="77777777" w:rsidR="00EC0600" w:rsidRDefault="003F683D">
            <w:pPr>
              <w:keepNext/>
              <w:keepLines/>
              <w:spacing w:after="0" w:line="240" w:lineRule="auto"/>
            </w:pPr>
            <w:r>
              <w:rPr>
                <w:sz w:val="18"/>
              </w:rPr>
              <w:t>16</w:t>
            </w:r>
          </w:p>
        </w:tc>
        <w:tc>
          <w:tcPr>
            <w:tcW w:w="1860" w:type="dxa"/>
            <w:tcMar>
              <w:top w:w="0" w:type="dxa"/>
              <w:bottom w:w="0" w:type="dxa"/>
            </w:tcMar>
            <w:vAlign w:val="center"/>
          </w:tcPr>
          <w:p w14:paraId="6E358D2D" w14:textId="77777777" w:rsidR="00EC0600" w:rsidRDefault="003F683D">
            <w:pPr>
              <w:keepNext/>
              <w:keepLines/>
              <w:spacing w:after="0" w:line="240" w:lineRule="auto"/>
              <w:jc w:val="right"/>
            </w:pPr>
            <w:r>
              <w:rPr>
                <w:sz w:val="18"/>
              </w:rPr>
              <w:t>38.234,30</w:t>
            </w:r>
          </w:p>
        </w:tc>
        <w:tc>
          <w:tcPr>
            <w:tcW w:w="1860" w:type="dxa"/>
            <w:tcMar>
              <w:top w:w="0" w:type="dxa"/>
              <w:bottom w:w="0" w:type="dxa"/>
            </w:tcMar>
            <w:vAlign w:val="center"/>
          </w:tcPr>
          <w:p w14:paraId="1775F528" w14:textId="77777777" w:rsidR="00EC0600" w:rsidRDefault="003F683D">
            <w:pPr>
              <w:keepNext/>
              <w:keepLines/>
              <w:spacing w:after="0" w:line="240" w:lineRule="auto"/>
              <w:jc w:val="right"/>
            </w:pPr>
            <w:r>
              <w:rPr>
                <w:sz w:val="18"/>
              </w:rPr>
              <w:t>43.831,53</w:t>
            </w:r>
          </w:p>
        </w:tc>
        <w:tc>
          <w:tcPr>
            <w:tcW w:w="700" w:type="dxa"/>
            <w:tcMar>
              <w:top w:w="0" w:type="dxa"/>
              <w:bottom w:w="0" w:type="dxa"/>
            </w:tcMar>
            <w:vAlign w:val="center"/>
          </w:tcPr>
          <w:p w14:paraId="234AB21C" w14:textId="77777777" w:rsidR="00EC0600" w:rsidRDefault="003F683D">
            <w:pPr>
              <w:keepNext/>
              <w:keepLines/>
              <w:spacing w:after="0" w:line="240" w:lineRule="auto"/>
              <w:jc w:val="right"/>
            </w:pPr>
            <w:r>
              <w:rPr>
                <w:sz w:val="18"/>
              </w:rPr>
              <w:t>114,6</w:t>
            </w:r>
          </w:p>
        </w:tc>
      </w:tr>
    </w:tbl>
    <w:p w14:paraId="1ED49CC2" w14:textId="77777777" w:rsidR="00EC0600" w:rsidRDefault="00EC0600">
      <w:pPr>
        <w:spacing w:after="0"/>
      </w:pPr>
    </w:p>
    <w:p w14:paraId="5D8E8834" w14:textId="77777777" w:rsidR="00EC0600" w:rsidRDefault="003F683D">
      <w:pPr>
        <w:jc w:val="both"/>
      </w:pPr>
      <w:r>
        <w:t>Potraživanja za prihode odnose se na potraživanje za nenaplaćene školarine, potraživanje za najam prostora i opreme u iznosu 43.831,53 EUR-. Od ukupnih potraživanja 33.917,87 EUR-a odnosi se na školarine, 762,50 EUR-a na prihode za najam prostora, a 9.151,16 EUR-a za prefakturirane troškove električne energije. U dospjeću kraćem od godine dana je iznos od 3.498,38 EUR-a i odnosi se na nenaplaćene školarine i troškove oportunitetnog troška. Ispravak vrijednosti potraživanja u iznosu od 796,34 EUR-a naplaćen je u toku 2025. godine.</w:t>
      </w:r>
    </w:p>
    <w:p w14:paraId="400C28E7" w14:textId="77777777" w:rsidR="00EC0600" w:rsidRDefault="00EC0600"/>
    <w:p w14:paraId="2D8A02FB" w14:textId="77777777" w:rsidR="00EC0600" w:rsidRDefault="003F683D">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1760C5AB" w14:textId="77777777">
        <w:trPr>
          <w:cantSplit/>
        </w:trPr>
        <w:tc>
          <w:tcPr>
            <w:tcW w:w="700" w:type="dxa"/>
            <w:shd w:val="clear" w:color="auto" w:fill="E7F0F9"/>
            <w:tcMar>
              <w:top w:w="0" w:type="dxa"/>
              <w:bottom w:w="0" w:type="dxa"/>
            </w:tcMar>
            <w:vAlign w:val="center"/>
          </w:tcPr>
          <w:p w14:paraId="22A12197"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A925F7F"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66431B"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A2956F2"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F970BC"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266A8A6" w14:textId="77777777" w:rsidR="00EC0600" w:rsidRDefault="003F683D">
            <w:pPr>
              <w:keepNext/>
              <w:keepLines/>
              <w:spacing w:after="0" w:line="240" w:lineRule="auto"/>
              <w:jc w:val="center"/>
            </w:pPr>
            <w:r>
              <w:rPr>
                <w:b/>
                <w:sz w:val="18"/>
              </w:rPr>
              <w:t>Indeks (%)</w:t>
            </w:r>
          </w:p>
        </w:tc>
      </w:tr>
      <w:tr w:rsidR="00EC0600" w14:paraId="6B769507" w14:textId="77777777">
        <w:trPr>
          <w:cantSplit/>
          <w:trHeight w:val="560"/>
        </w:trPr>
        <w:tc>
          <w:tcPr>
            <w:tcW w:w="700" w:type="dxa"/>
            <w:tcMar>
              <w:top w:w="0" w:type="dxa"/>
              <w:bottom w:w="0" w:type="dxa"/>
            </w:tcMar>
            <w:vAlign w:val="center"/>
          </w:tcPr>
          <w:p w14:paraId="768BF108" w14:textId="77777777" w:rsidR="00EC0600" w:rsidRDefault="003F683D">
            <w:pPr>
              <w:keepNext/>
              <w:keepLines/>
              <w:spacing w:after="0" w:line="240" w:lineRule="auto"/>
            </w:pPr>
            <w:r>
              <w:rPr>
                <w:sz w:val="18"/>
              </w:rPr>
              <w:t>2</w:t>
            </w:r>
          </w:p>
        </w:tc>
        <w:tc>
          <w:tcPr>
            <w:tcW w:w="3180" w:type="dxa"/>
            <w:tcMar>
              <w:top w:w="0" w:type="dxa"/>
              <w:bottom w:w="0" w:type="dxa"/>
            </w:tcMar>
            <w:vAlign w:val="center"/>
          </w:tcPr>
          <w:p w14:paraId="71AABDC8" w14:textId="77777777" w:rsidR="00EC0600" w:rsidRDefault="003F683D">
            <w:pPr>
              <w:keepNext/>
              <w:keepLines/>
              <w:spacing w:after="0" w:line="240" w:lineRule="auto"/>
            </w:pPr>
            <w:r>
              <w:rPr>
                <w:sz w:val="18"/>
              </w:rPr>
              <w:t>Obveze (šifre 23+24+25+26+27+29)</w:t>
            </w:r>
          </w:p>
        </w:tc>
        <w:tc>
          <w:tcPr>
            <w:tcW w:w="700" w:type="dxa"/>
            <w:tcMar>
              <w:top w:w="0" w:type="dxa"/>
              <w:bottom w:w="0" w:type="dxa"/>
            </w:tcMar>
            <w:vAlign w:val="center"/>
          </w:tcPr>
          <w:p w14:paraId="3E3FA7DA" w14:textId="77777777" w:rsidR="00EC0600" w:rsidRDefault="003F683D">
            <w:pPr>
              <w:keepNext/>
              <w:keepLines/>
              <w:spacing w:after="0" w:line="240" w:lineRule="auto"/>
            </w:pPr>
            <w:r>
              <w:rPr>
                <w:sz w:val="18"/>
              </w:rPr>
              <w:t>2</w:t>
            </w:r>
          </w:p>
        </w:tc>
        <w:tc>
          <w:tcPr>
            <w:tcW w:w="1860" w:type="dxa"/>
            <w:tcMar>
              <w:top w:w="0" w:type="dxa"/>
              <w:bottom w:w="0" w:type="dxa"/>
            </w:tcMar>
            <w:vAlign w:val="center"/>
          </w:tcPr>
          <w:p w14:paraId="2B173C53" w14:textId="77777777" w:rsidR="00EC0600" w:rsidRDefault="003F683D">
            <w:pPr>
              <w:keepNext/>
              <w:keepLines/>
              <w:spacing w:after="0" w:line="240" w:lineRule="auto"/>
              <w:jc w:val="right"/>
            </w:pPr>
            <w:r>
              <w:rPr>
                <w:sz w:val="18"/>
              </w:rPr>
              <w:t>461.516,37</w:t>
            </w:r>
          </w:p>
        </w:tc>
        <w:tc>
          <w:tcPr>
            <w:tcW w:w="1860" w:type="dxa"/>
            <w:tcMar>
              <w:top w:w="0" w:type="dxa"/>
              <w:bottom w:w="0" w:type="dxa"/>
            </w:tcMar>
            <w:vAlign w:val="center"/>
          </w:tcPr>
          <w:p w14:paraId="357205BC" w14:textId="77777777" w:rsidR="00EC0600" w:rsidRDefault="003F683D">
            <w:pPr>
              <w:keepNext/>
              <w:keepLines/>
              <w:spacing w:after="0" w:line="240" w:lineRule="auto"/>
              <w:jc w:val="right"/>
            </w:pPr>
            <w:r>
              <w:rPr>
                <w:sz w:val="18"/>
              </w:rPr>
              <w:t>510.346,18</w:t>
            </w:r>
          </w:p>
        </w:tc>
        <w:tc>
          <w:tcPr>
            <w:tcW w:w="700" w:type="dxa"/>
            <w:tcMar>
              <w:top w:w="0" w:type="dxa"/>
              <w:bottom w:w="0" w:type="dxa"/>
            </w:tcMar>
            <w:vAlign w:val="center"/>
          </w:tcPr>
          <w:p w14:paraId="7252BF02" w14:textId="77777777" w:rsidR="00EC0600" w:rsidRDefault="003F683D">
            <w:pPr>
              <w:keepNext/>
              <w:keepLines/>
              <w:spacing w:after="0" w:line="240" w:lineRule="auto"/>
              <w:jc w:val="right"/>
            </w:pPr>
            <w:r>
              <w:rPr>
                <w:sz w:val="18"/>
              </w:rPr>
              <w:t>110,6</w:t>
            </w:r>
          </w:p>
        </w:tc>
      </w:tr>
    </w:tbl>
    <w:p w14:paraId="3F401D90" w14:textId="77777777" w:rsidR="00EC0600" w:rsidRDefault="00EC0600">
      <w:pPr>
        <w:spacing w:after="0"/>
      </w:pPr>
    </w:p>
    <w:p w14:paraId="19BAE612" w14:textId="77777777" w:rsidR="00EC0600" w:rsidRDefault="003F683D">
      <w:pPr>
        <w:jc w:val="both"/>
      </w:pPr>
      <w:r>
        <w:t>Obveze za materijalne rashode najvećim dijelom odnose se na obveze za zaposlene, čije povećanje je uzrokovano rastom osnovice za obračun plaća zaposlenih u 2025.godini, te obveze prema dobavljačima za materijalne rashode koje su podmirene u 2026. godini po dospijeću.</w:t>
      </w:r>
    </w:p>
    <w:p w14:paraId="32190254" w14:textId="77777777" w:rsidR="00EC0600" w:rsidRDefault="003F683D">
      <w:pPr>
        <w:jc w:val="both"/>
      </w:pPr>
      <w:r>
        <w:t> </w:t>
      </w:r>
      <w:r>
        <w:br/>
      </w:r>
    </w:p>
    <w:p w14:paraId="047B166D" w14:textId="77777777" w:rsidR="00EC0600" w:rsidRDefault="00EC0600"/>
    <w:p w14:paraId="01181923" w14:textId="77777777" w:rsidR="00EC0600" w:rsidRDefault="003F683D">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5470B4D3" w14:textId="77777777">
        <w:trPr>
          <w:cantSplit/>
        </w:trPr>
        <w:tc>
          <w:tcPr>
            <w:tcW w:w="700" w:type="dxa"/>
            <w:shd w:val="clear" w:color="auto" w:fill="E7F0F9"/>
            <w:tcMar>
              <w:top w:w="0" w:type="dxa"/>
              <w:bottom w:w="0" w:type="dxa"/>
            </w:tcMar>
            <w:vAlign w:val="center"/>
          </w:tcPr>
          <w:p w14:paraId="1488F669"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561D171"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ACC356"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CEB653"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F356032"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DB85A65" w14:textId="77777777" w:rsidR="00EC0600" w:rsidRDefault="003F683D">
            <w:pPr>
              <w:keepNext/>
              <w:keepLines/>
              <w:spacing w:after="0" w:line="240" w:lineRule="auto"/>
              <w:jc w:val="center"/>
            </w:pPr>
            <w:r>
              <w:rPr>
                <w:b/>
                <w:sz w:val="18"/>
              </w:rPr>
              <w:t>Indeks (%)</w:t>
            </w:r>
          </w:p>
        </w:tc>
      </w:tr>
      <w:tr w:rsidR="00EC0600" w14:paraId="29CDE240" w14:textId="77777777">
        <w:trPr>
          <w:cantSplit/>
          <w:trHeight w:val="560"/>
        </w:trPr>
        <w:tc>
          <w:tcPr>
            <w:tcW w:w="700" w:type="dxa"/>
            <w:tcMar>
              <w:top w:w="0" w:type="dxa"/>
              <w:bottom w:w="0" w:type="dxa"/>
            </w:tcMar>
            <w:vAlign w:val="center"/>
          </w:tcPr>
          <w:p w14:paraId="02D5DE4B" w14:textId="77777777" w:rsidR="00EC0600" w:rsidRDefault="003F683D">
            <w:pPr>
              <w:keepNext/>
              <w:keepLines/>
              <w:spacing w:after="0" w:line="240" w:lineRule="auto"/>
            </w:pPr>
            <w:r>
              <w:rPr>
                <w:sz w:val="18"/>
              </w:rPr>
              <w:t>26</w:t>
            </w:r>
          </w:p>
        </w:tc>
        <w:tc>
          <w:tcPr>
            <w:tcW w:w="3180" w:type="dxa"/>
            <w:tcMar>
              <w:top w:w="0" w:type="dxa"/>
              <w:bottom w:w="0" w:type="dxa"/>
            </w:tcMar>
            <w:vAlign w:val="center"/>
          </w:tcPr>
          <w:p w14:paraId="61BD9C57" w14:textId="77777777" w:rsidR="00EC0600" w:rsidRDefault="003F683D">
            <w:pPr>
              <w:keepNext/>
              <w:keepLines/>
              <w:spacing w:after="0" w:line="240" w:lineRule="auto"/>
            </w:pPr>
            <w:r>
              <w:rPr>
                <w:sz w:val="18"/>
              </w:rPr>
              <w:t>Obveze za kredite i zajmove (šifre 26X1+26X2)</w:t>
            </w:r>
          </w:p>
        </w:tc>
        <w:tc>
          <w:tcPr>
            <w:tcW w:w="700" w:type="dxa"/>
            <w:tcMar>
              <w:top w:w="0" w:type="dxa"/>
              <w:bottom w:w="0" w:type="dxa"/>
            </w:tcMar>
            <w:vAlign w:val="center"/>
          </w:tcPr>
          <w:p w14:paraId="42239F2F" w14:textId="77777777" w:rsidR="00EC0600" w:rsidRDefault="003F683D">
            <w:pPr>
              <w:keepNext/>
              <w:keepLines/>
              <w:spacing w:after="0" w:line="240" w:lineRule="auto"/>
            </w:pPr>
            <w:r>
              <w:rPr>
                <w:sz w:val="18"/>
              </w:rPr>
              <w:t>26</w:t>
            </w:r>
          </w:p>
        </w:tc>
        <w:tc>
          <w:tcPr>
            <w:tcW w:w="1860" w:type="dxa"/>
            <w:tcMar>
              <w:top w:w="0" w:type="dxa"/>
              <w:bottom w:w="0" w:type="dxa"/>
            </w:tcMar>
            <w:vAlign w:val="center"/>
          </w:tcPr>
          <w:p w14:paraId="6B9E95EE" w14:textId="77777777" w:rsidR="00EC0600" w:rsidRDefault="003F683D">
            <w:pPr>
              <w:keepNext/>
              <w:keepLines/>
              <w:spacing w:after="0" w:line="240" w:lineRule="auto"/>
              <w:jc w:val="right"/>
            </w:pPr>
            <w:r>
              <w:rPr>
                <w:sz w:val="18"/>
              </w:rPr>
              <w:t>27.975,53</w:t>
            </w:r>
          </w:p>
        </w:tc>
        <w:tc>
          <w:tcPr>
            <w:tcW w:w="1860" w:type="dxa"/>
            <w:tcMar>
              <w:top w:w="0" w:type="dxa"/>
              <w:bottom w:w="0" w:type="dxa"/>
            </w:tcMar>
            <w:vAlign w:val="center"/>
          </w:tcPr>
          <w:p w14:paraId="3DEAACB8" w14:textId="77777777" w:rsidR="00EC0600" w:rsidRDefault="003F683D">
            <w:pPr>
              <w:keepNext/>
              <w:keepLines/>
              <w:spacing w:after="0" w:line="240" w:lineRule="auto"/>
              <w:jc w:val="right"/>
            </w:pPr>
            <w:r>
              <w:rPr>
                <w:sz w:val="18"/>
              </w:rPr>
              <w:t>19.229,84</w:t>
            </w:r>
          </w:p>
        </w:tc>
        <w:tc>
          <w:tcPr>
            <w:tcW w:w="700" w:type="dxa"/>
            <w:tcMar>
              <w:top w:w="0" w:type="dxa"/>
              <w:bottom w:w="0" w:type="dxa"/>
            </w:tcMar>
            <w:vAlign w:val="center"/>
          </w:tcPr>
          <w:p w14:paraId="6EF0DFFD" w14:textId="77777777" w:rsidR="00EC0600" w:rsidRDefault="003F683D">
            <w:pPr>
              <w:keepNext/>
              <w:keepLines/>
              <w:spacing w:after="0" w:line="240" w:lineRule="auto"/>
              <w:jc w:val="right"/>
            </w:pPr>
            <w:r>
              <w:rPr>
                <w:sz w:val="18"/>
              </w:rPr>
              <w:t>68,7</w:t>
            </w:r>
          </w:p>
        </w:tc>
      </w:tr>
    </w:tbl>
    <w:p w14:paraId="5A6D761C" w14:textId="77777777" w:rsidR="00EC0600" w:rsidRDefault="00EC0600">
      <w:pPr>
        <w:spacing w:after="0"/>
      </w:pPr>
    </w:p>
    <w:p w14:paraId="3458E73D" w14:textId="77777777" w:rsidR="00EC0600" w:rsidRDefault="003F683D" w:rsidP="003F683D">
      <w:pPr>
        <w:jc w:val="both"/>
      </w:pPr>
      <w:r>
        <w:t>Obveza za zajmove od ostalih tuzemnih institucija izvan javnog sektora iznosi 27.975,53 EUR-a, a odnosi se na obvezu po Ugovoru za financijski leasing za kupnju osobnog automobila. Ugovor je sklopljen u 2024. godini na rok od 3 godine s rokom dospijeća zadnje rate 31.12.2027.godine. U toku 2025. godine otplaćeno je 8.745,69 EUR-a.</w:t>
      </w:r>
    </w:p>
    <w:p w14:paraId="51ABEB8C" w14:textId="77777777" w:rsidR="00EC0600" w:rsidRDefault="00EC0600"/>
    <w:p w14:paraId="4B783246" w14:textId="77777777" w:rsidR="00EC0600" w:rsidRDefault="003F683D">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1516D28E" w14:textId="77777777">
        <w:trPr>
          <w:cantSplit/>
        </w:trPr>
        <w:tc>
          <w:tcPr>
            <w:tcW w:w="700" w:type="dxa"/>
            <w:shd w:val="clear" w:color="auto" w:fill="E7F0F9"/>
            <w:tcMar>
              <w:top w:w="0" w:type="dxa"/>
              <w:bottom w:w="0" w:type="dxa"/>
            </w:tcMar>
            <w:vAlign w:val="center"/>
          </w:tcPr>
          <w:p w14:paraId="5D2D8E28"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B36F7F"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9C9223E"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338CD3"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8AE4E7F"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20641CB" w14:textId="77777777" w:rsidR="00EC0600" w:rsidRDefault="003F683D">
            <w:pPr>
              <w:keepNext/>
              <w:keepLines/>
              <w:spacing w:after="0" w:line="240" w:lineRule="auto"/>
              <w:jc w:val="center"/>
            </w:pPr>
            <w:r>
              <w:rPr>
                <w:b/>
                <w:sz w:val="18"/>
              </w:rPr>
              <w:t>Indeks (%)</w:t>
            </w:r>
          </w:p>
        </w:tc>
      </w:tr>
      <w:tr w:rsidR="00EC0600" w14:paraId="36A2802B" w14:textId="77777777">
        <w:trPr>
          <w:cantSplit/>
          <w:trHeight w:val="560"/>
        </w:trPr>
        <w:tc>
          <w:tcPr>
            <w:tcW w:w="700" w:type="dxa"/>
            <w:tcMar>
              <w:top w:w="0" w:type="dxa"/>
              <w:bottom w:w="0" w:type="dxa"/>
            </w:tcMar>
            <w:vAlign w:val="center"/>
          </w:tcPr>
          <w:p w14:paraId="279841D7" w14:textId="77777777" w:rsidR="00EC0600" w:rsidRDefault="003F683D">
            <w:pPr>
              <w:keepNext/>
              <w:keepLines/>
              <w:spacing w:after="0" w:line="240" w:lineRule="auto"/>
            </w:pPr>
            <w:r>
              <w:rPr>
                <w:sz w:val="18"/>
              </w:rPr>
              <w:t>27</w:t>
            </w:r>
          </w:p>
        </w:tc>
        <w:tc>
          <w:tcPr>
            <w:tcW w:w="3180" w:type="dxa"/>
            <w:tcMar>
              <w:top w:w="0" w:type="dxa"/>
              <w:bottom w:w="0" w:type="dxa"/>
            </w:tcMar>
            <w:vAlign w:val="center"/>
          </w:tcPr>
          <w:p w14:paraId="1722AE0C" w14:textId="77777777" w:rsidR="00EC0600" w:rsidRDefault="003F683D">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287BCD24" w14:textId="77777777" w:rsidR="00EC0600" w:rsidRDefault="003F683D">
            <w:pPr>
              <w:keepNext/>
              <w:keepLines/>
              <w:spacing w:after="0" w:line="240" w:lineRule="auto"/>
            </w:pPr>
            <w:r>
              <w:rPr>
                <w:sz w:val="18"/>
              </w:rPr>
              <w:t>27</w:t>
            </w:r>
          </w:p>
        </w:tc>
        <w:tc>
          <w:tcPr>
            <w:tcW w:w="1860" w:type="dxa"/>
            <w:tcMar>
              <w:top w:w="0" w:type="dxa"/>
              <w:bottom w:w="0" w:type="dxa"/>
            </w:tcMar>
            <w:vAlign w:val="center"/>
          </w:tcPr>
          <w:p w14:paraId="30799C32" w14:textId="77777777" w:rsidR="00EC0600" w:rsidRDefault="003F683D">
            <w:pPr>
              <w:keepNext/>
              <w:keepLines/>
              <w:spacing w:after="0" w:line="240" w:lineRule="auto"/>
              <w:jc w:val="right"/>
            </w:pPr>
            <w:r>
              <w:rPr>
                <w:sz w:val="18"/>
              </w:rPr>
              <w:t>0,00</w:t>
            </w:r>
          </w:p>
        </w:tc>
        <w:tc>
          <w:tcPr>
            <w:tcW w:w="1860" w:type="dxa"/>
            <w:tcMar>
              <w:top w:w="0" w:type="dxa"/>
              <w:bottom w:w="0" w:type="dxa"/>
            </w:tcMar>
            <w:vAlign w:val="center"/>
          </w:tcPr>
          <w:p w14:paraId="4469F3E5" w14:textId="77777777" w:rsidR="00EC0600" w:rsidRDefault="003F683D">
            <w:pPr>
              <w:keepNext/>
              <w:keepLines/>
              <w:spacing w:after="0" w:line="240" w:lineRule="auto"/>
              <w:jc w:val="right"/>
            </w:pPr>
            <w:r>
              <w:rPr>
                <w:sz w:val="18"/>
              </w:rPr>
              <w:t>29.539,43</w:t>
            </w:r>
          </w:p>
        </w:tc>
        <w:tc>
          <w:tcPr>
            <w:tcW w:w="700" w:type="dxa"/>
            <w:tcMar>
              <w:top w:w="0" w:type="dxa"/>
              <w:bottom w:w="0" w:type="dxa"/>
            </w:tcMar>
            <w:vAlign w:val="center"/>
          </w:tcPr>
          <w:p w14:paraId="2FBE67D7" w14:textId="77777777" w:rsidR="00EC0600" w:rsidRDefault="003F683D">
            <w:pPr>
              <w:keepNext/>
              <w:keepLines/>
              <w:spacing w:after="0" w:line="240" w:lineRule="auto"/>
              <w:jc w:val="right"/>
            </w:pPr>
            <w:r>
              <w:rPr>
                <w:sz w:val="18"/>
              </w:rPr>
              <w:t>-</w:t>
            </w:r>
          </w:p>
        </w:tc>
      </w:tr>
    </w:tbl>
    <w:p w14:paraId="131BBC07" w14:textId="77777777" w:rsidR="00EC0600" w:rsidRDefault="00EC0600">
      <w:pPr>
        <w:spacing w:after="0"/>
      </w:pPr>
    </w:p>
    <w:p w14:paraId="2A091A2F" w14:textId="77777777" w:rsidR="00EC0600" w:rsidRDefault="003F683D">
      <w:pPr>
        <w:jc w:val="both"/>
      </w:pPr>
      <w:r>
        <w:t>Obveza za predujmove, depozite, jamčevne pologe i tuđe prihode u iznosu od 29.539,43 EUR-a odnosi se na 2.000,85 EUR-a za jamčevne pologe, 25.988,00 EUR-a na primljene predujmove za dva novougovorena EU projekta po izvori 510, te 1.550,58 EUR-a obveze za povrat u proračun za bolovanja duža od 42 dana na teret HZZO-a.</w:t>
      </w:r>
    </w:p>
    <w:p w14:paraId="3A3E350C" w14:textId="77777777" w:rsidR="00EC0600" w:rsidRDefault="00EC0600"/>
    <w:p w14:paraId="7F85DB22" w14:textId="77777777" w:rsidR="00EC0600" w:rsidRDefault="003F683D">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7A4F63DF" w14:textId="77777777">
        <w:trPr>
          <w:cantSplit/>
        </w:trPr>
        <w:tc>
          <w:tcPr>
            <w:tcW w:w="700" w:type="dxa"/>
            <w:shd w:val="clear" w:color="auto" w:fill="E7F0F9"/>
            <w:tcMar>
              <w:top w:w="0" w:type="dxa"/>
              <w:bottom w:w="0" w:type="dxa"/>
            </w:tcMar>
            <w:vAlign w:val="center"/>
          </w:tcPr>
          <w:p w14:paraId="4D349605"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6C2298"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7806D2"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AA8BD2"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C2AF7C"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4BD30ABA" w14:textId="77777777" w:rsidR="00EC0600" w:rsidRDefault="003F683D">
            <w:pPr>
              <w:keepNext/>
              <w:keepLines/>
              <w:spacing w:after="0" w:line="240" w:lineRule="auto"/>
              <w:jc w:val="center"/>
            </w:pPr>
            <w:r>
              <w:rPr>
                <w:b/>
                <w:sz w:val="18"/>
              </w:rPr>
              <w:t>Indeks (%)</w:t>
            </w:r>
          </w:p>
        </w:tc>
      </w:tr>
      <w:tr w:rsidR="00EC0600" w14:paraId="3DC01521" w14:textId="77777777">
        <w:trPr>
          <w:cantSplit/>
          <w:trHeight w:val="560"/>
        </w:trPr>
        <w:tc>
          <w:tcPr>
            <w:tcW w:w="700" w:type="dxa"/>
            <w:tcMar>
              <w:top w:w="0" w:type="dxa"/>
              <w:bottom w:w="0" w:type="dxa"/>
            </w:tcMar>
            <w:vAlign w:val="center"/>
          </w:tcPr>
          <w:p w14:paraId="52B76E34" w14:textId="77777777" w:rsidR="00EC0600" w:rsidRDefault="003F683D">
            <w:pPr>
              <w:keepNext/>
              <w:keepLines/>
              <w:spacing w:after="0" w:line="240" w:lineRule="auto"/>
            </w:pPr>
            <w:r>
              <w:rPr>
                <w:sz w:val="18"/>
              </w:rPr>
              <w:t>29</w:t>
            </w:r>
          </w:p>
        </w:tc>
        <w:tc>
          <w:tcPr>
            <w:tcW w:w="3180" w:type="dxa"/>
            <w:tcMar>
              <w:top w:w="0" w:type="dxa"/>
              <w:bottom w:w="0" w:type="dxa"/>
            </w:tcMar>
            <w:vAlign w:val="center"/>
          </w:tcPr>
          <w:p w14:paraId="620B9509" w14:textId="77777777" w:rsidR="00EC0600" w:rsidRDefault="003F683D">
            <w:pPr>
              <w:keepNext/>
              <w:keepLines/>
              <w:spacing w:after="0" w:line="240" w:lineRule="auto"/>
            </w:pPr>
            <w:r>
              <w:rPr>
                <w:sz w:val="18"/>
              </w:rPr>
              <w:t>Odgođeno plaćanje rashoda i prihodi budućih razdoblja (pasivna vremenska razgraničenja) (šifre 291+292)</w:t>
            </w:r>
          </w:p>
        </w:tc>
        <w:tc>
          <w:tcPr>
            <w:tcW w:w="700" w:type="dxa"/>
            <w:tcMar>
              <w:top w:w="0" w:type="dxa"/>
              <w:bottom w:w="0" w:type="dxa"/>
            </w:tcMar>
            <w:vAlign w:val="center"/>
          </w:tcPr>
          <w:p w14:paraId="7161536E" w14:textId="77777777" w:rsidR="00EC0600" w:rsidRDefault="003F683D">
            <w:pPr>
              <w:keepNext/>
              <w:keepLines/>
              <w:spacing w:after="0" w:line="240" w:lineRule="auto"/>
            </w:pPr>
            <w:r>
              <w:rPr>
                <w:sz w:val="18"/>
              </w:rPr>
              <w:t>29</w:t>
            </w:r>
          </w:p>
        </w:tc>
        <w:tc>
          <w:tcPr>
            <w:tcW w:w="1860" w:type="dxa"/>
            <w:tcMar>
              <w:top w:w="0" w:type="dxa"/>
              <w:bottom w:w="0" w:type="dxa"/>
            </w:tcMar>
            <w:vAlign w:val="center"/>
          </w:tcPr>
          <w:p w14:paraId="3DCAA902" w14:textId="77777777" w:rsidR="00EC0600" w:rsidRDefault="003F683D">
            <w:pPr>
              <w:keepNext/>
              <w:keepLines/>
              <w:spacing w:after="0" w:line="240" w:lineRule="auto"/>
              <w:jc w:val="right"/>
            </w:pPr>
            <w:r>
              <w:rPr>
                <w:sz w:val="18"/>
              </w:rPr>
              <w:t>243.749,66</w:t>
            </w:r>
          </w:p>
        </w:tc>
        <w:tc>
          <w:tcPr>
            <w:tcW w:w="1860" w:type="dxa"/>
            <w:tcMar>
              <w:top w:w="0" w:type="dxa"/>
              <w:bottom w:w="0" w:type="dxa"/>
            </w:tcMar>
            <w:vAlign w:val="center"/>
          </w:tcPr>
          <w:p w14:paraId="22C289EB" w14:textId="77777777" w:rsidR="00EC0600" w:rsidRDefault="003F683D">
            <w:pPr>
              <w:keepNext/>
              <w:keepLines/>
              <w:spacing w:after="0" w:line="240" w:lineRule="auto"/>
              <w:jc w:val="right"/>
            </w:pPr>
            <w:r>
              <w:rPr>
                <w:sz w:val="18"/>
              </w:rPr>
              <w:t>250.319,89</w:t>
            </w:r>
          </w:p>
        </w:tc>
        <w:tc>
          <w:tcPr>
            <w:tcW w:w="700" w:type="dxa"/>
            <w:tcMar>
              <w:top w:w="0" w:type="dxa"/>
              <w:bottom w:w="0" w:type="dxa"/>
            </w:tcMar>
            <w:vAlign w:val="center"/>
          </w:tcPr>
          <w:p w14:paraId="1C31CE32" w14:textId="77777777" w:rsidR="00EC0600" w:rsidRDefault="003F683D">
            <w:pPr>
              <w:keepNext/>
              <w:keepLines/>
              <w:spacing w:after="0" w:line="240" w:lineRule="auto"/>
              <w:jc w:val="right"/>
            </w:pPr>
            <w:r>
              <w:rPr>
                <w:sz w:val="18"/>
              </w:rPr>
              <w:t>102,7</w:t>
            </w:r>
          </w:p>
        </w:tc>
      </w:tr>
    </w:tbl>
    <w:p w14:paraId="0CF758FA" w14:textId="77777777" w:rsidR="00EC0600" w:rsidRDefault="00EC0600">
      <w:pPr>
        <w:spacing w:after="0"/>
      </w:pPr>
    </w:p>
    <w:p w14:paraId="081D14F6" w14:textId="77777777" w:rsidR="00EC0600" w:rsidRDefault="003F683D">
      <w:pPr>
        <w:jc w:val="both"/>
      </w:pPr>
      <w:r>
        <w:t>Naplaćeni prihodi budućih razdoblja (šifra 29) iznose 250.319,89EUR-a, a odnose se na naplaćene školarine za akademsku godinu 2025./2026.</w:t>
      </w:r>
    </w:p>
    <w:p w14:paraId="5EB9E64D" w14:textId="77777777" w:rsidR="00EC0600" w:rsidRDefault="003F683D">
      <w:r>
        <w:t> </w:t>
      </w:r>
    </w:p>
    <w:p w14:paraId="1CC4F603" w14:textId="77777777" w:rsidR="00EC0600" w:rsidRDefault="00EC0600"/>
    <w:p w14:paraId="4B1E82FE" w14:textId="77777777" w:rsidR="00EC0600" w:rsidRDefault="003F683D">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241D70B3" w14:textId="77777777">
        <w:trPr>
          <w:cantSplit/>
        </w:trPr>
        <w:tc>
          <w:tcPr>
            <w:tcW w:w="700" w:type="dxa"/>
            <w:shd w:val="clear" w:color="auto" w:fill="E7F0F9"/>
            <w:tcMar>
              <w:top w:w="0" w:type="dxa"/>
              <w:bottom w:w="0" w:type="dxa"/>
            </w:tcMar>
            <w:vAlign w:val="center"/>
          </w:tcPr>
          <w:p w14:paraId="6C942310"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A120005"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F97862C"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033554"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D21AE5B"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02AC6E8" w14:textId="77777777" w:rsidR="00EC0600" w:rsidRDefault="003F683D">
            <w:pPr>
              <w:keepNext/>
              <w:keepLines/>
              <w:spacing w:after="0" w:line="240" w:lineRule="auto"/>
              <w:jc w:val="center"/>
            </w:pPr>
            <w:r>
              <w:rPr>
                <w:b/>
                <w:sz w:val="18"/>
              </w:rPr>
              <w:t>Indeks (%)</w:t>
            </w:r>
          </w:p>
        </w:tc>
      </w:tr>
      <w:tr w:rsidR="00EC0600" w14:paraId="2B49AF00" w14:textId="77777777">
        <w:trPr>
          <w:cantSplit/>
          <w:trHeight w:val="560"/>
        </w:trPr>
        <w:tc>
          <w:tcPr>
            <w:tcW w:w="700" w:type="dxa"/>
            <w:tcMar>
              <w:top w:w="0" w:type="dxa"/>
              <w:bottom w:w="0" w:type="dxa"/>
            </w:tcMar>
            <w:vAlign w:val="center"/>
          </w:tcPr>
          <w:p w14:paraId="18794245" w14:textId="77777777" w:rsidR="00EC0600" w:rsidRDefault="003F683D">
            <w:pPr>
              <w:keepNext/>
              <w:keepLines/>
              <w:spacing w:after="0" w:line="240" w:lineRule="auto"/>
            </w:pPr>
            <w:r>
              <w:rPr>
                <w:sz w:val="18"/>
              </w:rPr>
              <w:t>92211</w:t>
            </w:r>
          </w:p>
        </w:tc>
        <w:tc>
          <w:tcPr>
            <w:tcW w:w="3180" w:type="dxa"/>
            <w:tcMar>
              <w:top w:w="0" w:type="dxa"/>
              <w:bottom w:w="0" w:type="dxa"/>
            </w:tcMar>
            <w:vAlign w:val="center"/>
          </w:tcPr>
          <w:p w14:paraId="7EF0103A" w14:textId="77777777" w:rsidR="00EC0600" w:rsidRDefault="003F683D">
            <w:pPr>
              <w:keepNext/>
              <w:keepLines/>
              <w:spacing w:after="0" w:line="240" w:lineRule="auto"/>
            </w:pPr>
            <w:r>
              <w:rPr>
                <w:sz w:val="18"/>
              </w:rPr>
              <w:t>Višak prihoda poslovanja</w:t>
            </w:r>
          </w:p>
        </w:tc>
        <w:tc>
          <w:tcPr>
            <w:tcW w:w="700" w:type="dxa"/>
            <w:tcMar>
              <w:top w:w="0" w:type="dxa"/>
              <w:bottom w:w="0" w:type="dxa"/>
            </w:tcMar>
            <w:vAlign w:val="center"/>
          </w:tcPr>
          <w:p w14:paraId="5AAB85FE" w14:textId="77777777" w:rsidR="00EC0600" w:rsidRDefault="003F683D">
            <w:pPr>
              <w:keepNext/>
              <w:keepLines/>
              <w:spacing w:after="0" w:line="240" w:lineRule="auto"/>
            </w:pPr>
            <w:r>
              <w:rPr>
                <w:sz w:val="18"/>
              </w:rPr>
              <w:t>92211</w:t>
            </w:r>
          </w:p>
        </w:tc>
        <w:tc>
          <w:tcPr>
            <w:tcW w:w="1860" w:type="dxa"/>
            <w:tcMar>
              <w:top w:w="0" w:type="dxa"/>
              <w:bottom w:w="0" w:type="dxa"/>
            </w:tcMar>
            <w:vAlign w:val="center"/>
          </w:tcPr>
          <w:p w14:paraId="0140441C" w14:textId="77777777" w:rsidR="00EC0600" w:rsidRDefault="003F683D">
            <w:pPr>
              <w:keepNext/>
              <w:keepLines/>
              <w:spacing w:after="0" w:line="240" w:lineRule="auto"/>
              <w:jc w:val="right"/>
            </w:pPr>
            <w:r>
              <w:rPr>
                <w:sz w:val="18"/>
              </w:rPr>
              <w:t>104.119,64</w:t>
            </w:r>
          </w:p>
        </w:tc>
        <w:tc>
          <w:tcPr>
            <w:tcW w:w="1860" w:type="dxa"/>
            <w:tcMar>
              <w:top w:w="0" w:type="dxa"/>
              <w:bottom w:w="0" w:type="dxa"/>
            </w:tcMar>
            <w:vAlign w:val="center"/>
          </w:tcPr>
          <w:p w14:paraId="198189B1" w14:textId="77777777" w:rsidR="00EC0600" w:rsidRDefault="003F683D">
            <w:pPr>
              <w:keepNext/>
              <w:keepLines/>
              <w:spacing w:after="0" w:line="240" w:lineRule="auto"/>
              <w:jc w:val="right"/>
            </w:pPr>
            <w:r>
              <w:rPr>
                <w:sz w:val="18"/>
              </w:rPr>
              <w:t>97.726,82</w:t>
            </w:r>
          </w:p>
        </w:tc>
        <w:tc>
          <w:tcPr>
            <w:tcW w:w="700" w:type="dxa"/>
            <w:tcMar>
              <w:top w:w="0" w:type="dxa"/>
              <w:bottom w:w="0" w:type="dxa"/>
            </w:tcMar>
            <w:vAlign w:val="center"/>
          </w:tcPr>
          <w:p w14:paraId="198C0287" w14:textId="77777777" w:rsidR="00EC0600" w:rsidRDefault="003F683D">
            <w:pPr>
              <w:keepNext/>
              <w:keepLines/>
              <w:spacing w:after="0" w:line="240" w:lineRule="auto"/>
              <w:jc w:val="right"/>
            </w:pPr>
            <w:r>
              <w:rPr>
                <w:sz w:val="18"/>
              </w:rPr>
              <w:t>93,9</w:t>
            </w:r>
          </w:p>
        </w:tc>
      </w:tr>
    </w:tbl>
    <w:p w14:paraId="44CB6CCD" w14:textId="77777777" w:rsidR="00EC0600" w:rsidRDefault="00EC0600">
      <w:pPr>
        <w:spacing w:after="0"/>
      </w:pPr>
    </w:p>
    <w:p w14:paraId="4B19D5D7" w14:textId="77777777" w:rsidR="00EC0600" w:rsidRDefault="003F683D">
      <w:pPr>
        <w:jc w:val="both"/>
      </w:pPr>
      <w:r>
        <w:lastRenderedPageBreak/>
        <w:t>U toku 2025.godine na računima kapitalnih prijenosa evidentirano je ukupno 52.155,33 EUR-a. Provedena je korekcija rezultata na način da se za iznos od  36.060,62 EUR-a zadužuje račun viška prihoda poslovanja, a odobrava račun manjka prihoda od nefinancijske imovine. Sa izvora 61 iznos korekcije iznosi 548,80 EUR-a, a sa izvora 52 iznos korekcije iznosi 35.511,82 EUR-a. Za izvještajno razdoblje 2025.godine višak prihoda poslovanja iznosi 97.726,82 EUR-a.</w:t>
      </w:r>
    </w:p>
    <w:p w14:paraId="392D87B3" w14:textId="77777777" w:rsidR="00EC0600" w:rsidRDefault="00EC0600"/>
    <w:p w14:paraId="22BBBBC4" w14:textId="77777777" w:rsidR="00EC0600" w:rsidRDefault="003F683D">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5D42E4B1" w14:textId="77777777">
        <w:trPr>
          <w:cantSplit/>
        </w:trPr>
        <w:tc>
          <w:tcPr>
            <w:tcW w:w="700" w:type="dxa"/>
            <w:shd w:val="clear" w:color="auto" w:fill="E7F0F9"/>
            <w:tcMar>
              <w:top w:w="0" w:type="dxa"/>
              <w:bottom w:w="0" w:type="dxa"/>
            </w:tcMar>
            <w:vAlign w:val="center"/>
          </w:tcPr>
          <w:p w14:paraId="171F0A99"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E6527F"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AF78D7B"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5FB7C21"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BD5CCA9"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41964F6" w14:textId="77777777" w:rsidR="00EC0600" w:rsidRDefault="003F683D">
            <w:pPr>
              <w:keepNext/>
              <w:keepLines/>
              <w:spacing w:after="0" w:line="240" w:lineRule="auto"/>
              <w:jc w:val="center"/>
            </w:pPr>
            <w:r>
              <w:rPr>
                <w:b/>
                <w:sz w:val="18"/>
              </w:rPr>
              <w:t>Indeks (%)</w:t>
            </w:r>
          </w:p>
        </w:tc>
      </w:tr>
      <w:tr w:rsidR="00EC0600" w14:paraId="12EC4148" w14:textId="77777777">
        <w:trPr>
          <w:cantSplit/>
          <w:trHeight w:val="560"/>
        </w:trPr>
        <w:tc>
          <w:tcPr>
            <w:tcW w:w="700" w:type="dxa"/>
            <w:tcMar>
              <w:top w:w="0" w:type="dxa"/>
              <w:bottom w:w="0" w:type="dxa"/>
            </w:tcMar>
            <w:vAlign w:val="center"/>
          </w:tcPr>
          <w:p w14:paraId="6A4C4466" w14:textId="77777777" w:rsidR="00EC0600" w:rsidRDefault="003F683D">
            <w:pPr>
              <w:keepNext/>
              <w:keepLines/>
              <w:spacing w:after="0" w:line="240" w:lineRule="auto"/>
            </w:pPr>
            <w:r>
              <w:rPr>
                <w:sz w:val="18"/>
              </w:rPr>
              <w:t>92222</w:t>
            </w:r>
          </w:p>
        </w:tc>
        <w:tc>
          <w:tcPr>
            <w:tcW w:w="3180" w:type="dxa"/>
            <w:tcMar>
              <w:top w:w="0" w:type="dxa"/>
              <w:bottom w:w="0" w:type="dxa"/>
            </w:tcMar>
            <w:vAlign w:val="center"/>
          </w:tcPr>
          <w:p w14:paraId="0AE8DEB1" w14:textId="77777777" w:rsidR="00EC0600" w:rsidRDefault="003F683D">
            <w:pPr>
              <w:keepNext/>
              <w:keepLines/>
              <w:spacing w:after="0" w:line="240" w:lineRule="auto"/>
            </w:pPr>
            <w:r>
              <w:rPr>
                <w:sz w:val="18"/>
              </w:rPr>
              <w:t>Manjak prihoda od nefinancijske imovine</w:t>
            </w:r>
          </w:p>
        </w:tc>
        <w:tc>
          <w:tcPr>
            <w:tcW w:w="700" w:type="dxa"/>
            <w:tcMar>
              <w:top w:w="0" w:type="dxa"/>
              <w:bottom w:w="0" w:type="dxa"/>
            </w:tcMar>
            <w:vAlign w:val="center"/>
          </w:tcPr>
          <w:p w14:paraId="22B3D36A" w14:textId="77777777" w:rsidR="00EC0600" w:rsidRDefault="003F683D">
            <w:pPr>
              <w:keepNext/>
              <w:keepLines/>
              <w:spacing w:after="0" w:line="240" w:lineRule="auto"/>
            </w:pPr>
            <w:r>
              <w:rPr>
                <w:sz w:val="18"/>
              </w:rPr>
              <w:t>92222</w:t>
            </w:r>
          </w:p>
        </w:tc>
        <w:tc>
          <w:tcPr>
            <w:tcW w:w="1860" w:type="dxa"/>
            <w:tcMar>
              <w:top w:w="0" w:type="dxa"/>
              <w:bottom w:w="0" w:type="dxa"/>
            </w:tcMar>
            <w:vAlign w:val="center"/>
          </w:tcPr>
          <w:p w14:paraId="67C25C4D" w14:textId="77777777" w:rsidR="00EC0600" w:rsidRDefault="003F683D">
            <w:pPr>
              <w:keepNext/>
              <w:keepLines/>
              <w:spacing w:after="0" w:line="240" w:lineRule="auto"/>
              <w:jc w:val="right"/>
            </w:pPr>
            <w:r>
              <w:rPr>
                <w:sz w:val="18"/>
              </w:rPr>
              <w:t>201.507,85</w:t>
            </w:r>
          </w:p>
        </w:tc>
        <w:tc>
          <w:tcPr>
            <w:tcW w:w="1860" w:type="dxa"/>
            <w:tcMar>
              <w:top w:w="0" w:type="dxa"/>
              <w:bottom w:w="0" w:type="dxa"/>
            </w:tcMar>
            <w:vAlign w:val="center"/>
          </w:tcPr>
          <w:p w14:paraId="265BEB2A" w14:textId="77777777" w:rsidR="00EC0600" w:rsidRDefault="003F683D">
            <w:pPr>
              <w:keepNext/>
              <w:keepLines/>
              <w:spacing w:after="0" w:line="240" w:lineRule="auto"/>
              <w:jc w:val="right"/>
            </w:pPr>
            <w:r>
              <w:rPr>
                <w:sz w:val="18"/>
              </w:rPr>
              <w:t>84.505,59</w:t>
            </w:r>
          </w:p>
        </w:tc>
        <w:tc>
          <w:tcPr>
            <w:tcW w:w="700" w:type="dxa"/>
            <w:tcMar>
              <w:top w:w="0" w:type="dxa"/>
              <w:bottom w:w="0" w:type="dxa"/>
            </w:tcMar>
            <w:vAlign w:val="center"/>
          </w:tcPr>
          <w:p w14:paraId="2F596108" w14:textId="77777777" w:rsidR="00EC0600" w:rsidRDefault="003F683D">
            <w:pPr>
              <w:keepNext/>
              <w:keepLines/>
              <w:spacing w:after="0" w:line="240" w:lineRule="auto"/>
              <w:jc w:val="right"/>
            </w:pPr>
            <w:r>
              <w:rPr>
                <w:sz w:val="18"/>
              </w:rPr>
              <w:t>41,9</w:t>
            </w:r>
          </w:p>
        </w:tc>
      </w:tr>
    </w:tbl>
    <w:p w14:paraId="0C9124AD" w14:textId="77777777" w:rsidR="00EC0600" w:rsidRDefault="00EC0600">
      <w:pPr>
        <w:spacing w:after="0"/>
      </w:pPr>
    </w:p>
    <w:p w14:paraId="3738B932" w14:textId="77777777" w:rsidR="00EC0600" w:rsidRDefault="003F683D">
      <w:r>
        <w:t>Manjak prihoda od nefinancijske imovine pokriti će dijelom viškom prihoda od poslovanja Odlukom o raspodjeli rezultata, a dijelom budućim viškom prihoda od redovnog poslovanja.</w:t>
      </w:r>
    </w:p>
    <w:p w14:paraId="16257D6C" w14:textId="77777777" w:rsidR="00EC0600" w:rsidRDefault="00EC0600"/>
    <w:p w14:paraId="37494BF0" w14:textId="77777777" w:rsidR="00EC0600" w:rsidRDefault="003F683D">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637F941A" w14:textId="77777777">
        <w:trPr>
          <w:cantSplit/>
        </w:trPr>
        <w:tc>
          <w:tcPr>
            <w:tcW w:w="700" w:type="dxa"/>
            <w:shd w:val="clear" w:color="auto" w:fill="E7F0F9"/>
            <w:tcMar>
              <w:top w:w="0" w:type="dxa"/>
              <w:bottom w:w="0" w:type="dxa"/>
            </w:tcMar>
            <w:vAlign w:val="center"/>
          </w:tcPr>
          <w:p w14:paraId="11F2F667"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E39A72"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A8D6C4"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643DE64"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4B77D37"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6E4B8D7B" w14:textId="77777777" w:rsidR="00EC0600" w:rsidRDefault="003F683D">
            <w:pPr>
              <w:keepNext/>
              <w:keepLines/>
              <w:spacing w:after="0" w:line="240" w:lineRule="auto"/>
              <w:jc w:val="center"/>
            </w:pPr>
            <w:r>
              <w:rPr>
                <w:b/>
                <w:sz w:val="18"/>
              </w:rPr>
              <w:t>Indeks (%)</w:t>
            </w:r>
          </w:p>
        </w:tc>
      </w:tr>
      <w:tr w:rsidR="00EC0600" w14:paraId="47A26C7B" w14:textId="77777777">
        <w:trPr>
          <w:cantSplit/>
          <w:trHeight w:val="560"/>
        </w:trPr>
        <w:tc>
          <w:tcPr>
            <w:tcW w:w="700" w:type="dxa"/>
            <w:tcMar>
              <w:top w:w="0" w:type="dxa"/>
              <w:bottom w:w="0" w:type="dxa"/>
            </w:tcMar>
            <w:vAlign w:val="center"/>
          </w:tcPr>
          <w:p w14:paraId="3061A35B" w14:textId="77777777" w:rsidR="00EC0600" w:rsidRDefault="003F683D">
            <w:pPr>
              <w:keepNext/>
              <w:keepLines/>
              <w:spacing w:after="0" w:line="240" w:lineRule="auto"/>
            </w:pPr>
            <w:r>
              <w:rPr>
                <w:sz w:val="18"/>
              </w:rPr>
              <w:t>92223</w:t>
            </w:r>
          </w:p>
        </w:tc>
        <w:tc>
          <w:tcPr>
            <w:tcW w:w="3180" w:type="dxa"/>
            <w:tcMar>
              <w:top w:w="0" w:type="dxa"/>
              <w:bottom w:w="0" w:type="dxa"/>
            </w:tcMar>
            <w:vAlign w:val="center"/>
          </w:tcPr>
          <w:p w14:paraId="2CC4A1D7" w14:textId="77777777" w:rsidR="00EC0600" w:rsidRDefault="003F683D">
            <w:pPr>
              <w:keepNext/>
              <w:keepLines/>
              <w:spacing w:after="0" w:line="240" w:lineRule="auto"/>
            </w:pPr>
            <w:r>
              <w:rPr>
                <w:sz w:val="18"/>
              </w:rPr>
              <w:t>Manjak primitaka od financijske imovine</w:t>
            </w:r>
          </w:p>
        </w:tc>
        <w:tc>
          <w:tcPr>
            <w:tcW w:w="700" w:type="dxa"/>
            <w:tcMar>
              <w:top w:w="0" w:type="dxa"/>
              <w:bottom w:w="0" w:type="dxa"/>
            </w:tcMar>
            <w:vAlign w:val="center"/>
          </w:tcPr>
          <w:p w14:paraId="0E818F66" w14:textId="77777777" w:rsidR="00EC0600" w:rsidRDefault="003F683D">
            <w:pPr>
              <w:keepNext/>
              <w:keepLines/>
              <w:spacing w:after="0" w:line="240" w:lineRule="auto"/>
            </w:pPr>
            <w:r>
              <w:rPr>
                <w:sz w:val="18"/>
              </w:rPr>
              <w:t>92223</w:t>
            </w:r>
          </w:p>
        </w:tc>
        <w:tc>
          <w:tcPr>
            <w:tcW w:w="1860" w:type="dxa"/>
            <w:tcMar>
              <w:top w:w="0" w:type="dxa"/>
              <w:bottom w:w="0" w:type="dxa"/>
            </w:tcMar>
            <w:vAlign w:val="center"/>
          </w:tcPr>
          <w:p w14:paraId="1B66EAD0" w14:textId="77777777" w:rsidR="00EC0600" w:rsidRDefault="003F683D">
            <w:pPr>
              <w:keepNext/>
              <w:keepLines/>
              <w:spacing w:after="0" w:line="240" w:lineRule="auto"/>
              <w:jc w:val="right"/>
            </w:pPr>
            <w:r>
              <w:rPr>
                <w:sz w:val="18"/>
              </w:rPr>
              <w:t>0,00</w:t>
            </w:r>
          </w:p>
        </w:tc>
        <w:tc>
          <w:tcPr>
            <w:tcW w:w="1860" w:type="dxa"/>
            <w:tcMar>
              <w:top w:w="0" w:type="dxa"/>
              <w:bottom w:w="0" w:type="dxa"/>
            </w:tcMar>
            <w:vAlign w:val="center"/>
          </w:tcPr>
          <w:p w14:paraId="564AEE39" w14:textId="77777777" w:rsidR="00EC0600" w:rsidRDefault="003F683D">
            <w:pPr>
              <w:keepNext/>
              <w:keepLines/>
              <w:spacing w:after="0" w:line="240" w:lineRule="auto"/>
              <w:jc w:val="right"/>
            </w:pPr>
            <w:r>
              <w:rPr>
                <w:sz w:val="18"/>
              </w:rPr>
              <w:t>8.745,69</w:t>
            </w:r>
          </w:p>
        </w:tc>
        <w:tc>
          <w:tcPr>
            <w:tcW w:w="700" w:type="dxa"/>
            <w:tcMar>
              <w:top w:w="0" w:type="dxa"/>
              <w:bottom w:w="0" w:type="dxa"/>
            </w:tcMar>
            <w:vAlign w:val="center"/>
          </w:tcPr>
          <w:p w14:paraId="13A1F78C" w14:textId="77777777" w:rsidR="00EC0600" w:rsidRDefault="003F683D">
            <w:pPr>
              <w:keepNext/>
              <w:keepLines/>
              <w:spacing w:after="0" w:line="240" w:lineRule="auto"/>
              <w:jc w:val="right"/>
            </w:pPr>
            <w:r>
              <w:rPr>
                <w:sz w:val="18"/>
              </w:rPr>
              <w:t>-</w:t>
            </w:r>
          </w:p>
        </w:tc>
      </w:tr>
    </w:tbl>
    <w:p w14:paraId="3D28947C" w14:textId="77777777" w:rsidR="00EC0600" w:rsidRDefault="00EC0600">
      <w:pPr>
        <w:spacing w:after="0"/>
      </w:pPr>
    </w:p>
    <w:p w14:paraId="58D51ECE" w14:textId="77777777" w:rsidR="00EC0600" w:rsidRDefault="003F683D">
      <w:r>
        <w:t>Manjak primitaka od nefinancijske imovine pokrit će se Odlukom o raspodjeli rezultata u 2026. godini s viškom od prihoda poslovanja po izvoru 43.</w:t>
      </w:r>
    </w:p>
    <w:p w14:paraId="030BA2CD" w14:textId="77777777" w:rsidR="00EC0600" w:rsidRDefault="00EC0600"/>
    <w:p w14:paraId="70713D67" w14:textId="77777777" w:rsidR="00EC0600" w:rsidRDefault="003F683D">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1A5E654B" w14:textId="77777777">
        <w:trPr>
          <w:cantSplit/>
        </w:trPr>
        <w:tc>
          <w:tcPr>
            <w:tcW w:w="700" w:type="dxa"/>
            <w:shd w:val="clear" w:color="auto" w:fill="E7F0F9"/>
            <w:tcMar>
              <w:top w:w="0" w:type="dxa"/>
              <w:bottom w:w="0" w:type="dxa"/>
            </w:tcMar>
            <w:vAlign w:val="center"/>
          </w:tcPr>
          <w:p w14:paraId="434D9BB2"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35ACF36"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DCC1267"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EAAD58" w14:textId="77777777" w:rsidR="00EC0600" w:rsidRDefault="003F683D">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1E08DE17" w14:textId="77777777" w:rsidR="00EC0600" w:rsidRDefault="003F683D">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53CD905" w14:textId="77777777" w:rsidR="00EC0600" w:rsidRDefault="003F683D">
            <w:pPr>
              <w:keepNext/>
              <w:keepLines/>
              <w:spacing w:after="0" w:line="240" w:lineRule="auto"/>
              <w:jc w:val="center"/>
            </w:pPr>
            <w:r>
              <w:rPr>
                <w:b/>
                <w:sz w:val="18"/>
              </w:rPr>
              <w:t>Indeks (%)</w:t>
            </w:r>
          </w:p>
        </w:tc>
      </w:tr>
      <w:tr w:rsidR="00EC0600" w14:paraId="3D2DA9CD" w14:textId="77777777">
        <w:trPr>
          <w:cantSplit/>
          <w:trHeight w:val="560"/>
        </w:trPr>
        <w:tc>
          <w:tcPr>
            <w:tcW w:w="700" w:type="dxa"/>
            <w:tcMar>
              <w:top w:w="0" w:type="dxa"/>
              <w:bottom w:w="0" w:type="dxa"/>
            </w:tcMar>
            <w:vAlign w:val="center"/>
          </w:tcPr>
          <w:p w14:paraId="3260A4DF" w14:textId="77777777" w:rsidR="00EC0600" w:rsidRDefault="003F683D">
            <w:pPr>
              <w:keepNext/>
              <w:keepLines/>
              <w:spacing w:after="0" w:line="240" w:lineRule="auto"/>
            </w:pPr>
            <w:r>
              <w:rPr>
                <w:sz w:val="18"/>
              </w:rPr>
              <w:t>991</w:t>
            </w:r>
          </w:p>
        </w:tc>
        <w:tc>
          <w:tcPr>
            <w:tcW w:w="3180" w:type="dxa"/>
            <w:tcMar>
              <w:top w:w="0" w:type="dxa"/>
              <w:bottom w:w="0" w:type="dxa"/>
            </w:tcMar>
            <w:vAlign w:val="center"/>
          </w:tcPr>
          <w:p w14:paraId="40A1C273" w14:textId="77777777" w:rsidR="00EC0600" w:rsidRDefault="003F683D">
            <w:pPr>
              <w:keepNext/>
              <w:keepLines/>
              <w:spacing w:after="0" w:line="240" w:lineRule="auto"/>
            </w:pPr>
            <w:r>
              <w:rPr>
                <w:sz w:val="18"/>
              </w:rPr>
              <w:t>Izvanbilančni zapisi - aktiva (šifra 996)</w:t>
            </w:r>
          </w:p>
        </w:tc>
        <w:tc>
          <w:tcPr>
            <w:tcW w:w="700" w:type="dxa"/>
            <w:tcMar>
              <w:top w:w="0" w:type="dxa"/>
              <w:bottom w:w="0" w:type="dxa"/>
            </w:tcMar>
            <w:vAlign w:val="center"/>
          </w:tcPr>
          <w:p w14:paraId="18AD7B8A" w14:textId="77777777" w:rsidR="00EC0600" w:rsidRDefault="003F683D">
            <w:pPr>
              <w:keepNext/>
              <w:keepLines/>
              <w:spacing w:after="0" w:line="240" w:lineRule="auto"/>
            </w:pPr>
            <w:r>
              <w:rPr>
                <w:sz w:val="18"/>
              </w:rPr>
              <w:t>991</w:t>
            </w:r>
          </w:p>
        </w:tc>
        <w:tc>
          <w:tcPr>
            <w:tcW w:w="1860" w:type="dxa"/>
            <w:tcMar>
              <w:top w:w="0" w:type="dxa"/>
              <w:bottom w:w="0" w:type="dxa"/>
            </w:tcMar>
            <w:vAlign w:val="center"/>
          </w:tcPr>
          <w:p w14:paraId="526914BB" w14:textId="77777777" w:rsidR="00EC0600" w:rsidRDefault="003F683D">
            <w:pPr>
              <w:keepNext/>
              <w:keepLines/>
              <w:spacing w:after="0" w:line="240" w:lineRule="auto"/>
              <w:jc w:val="right"/>
            </w:pPr>
            <w:r>
              <w:rPr>
                <w:sz w:val="18"/>
              </w:rPr>
              <w:t>1.051.230,54</w:t>
            </w:r>
          </w:p>
        </w:tc>
        <w:tc>
          <w:tcPr>
            <w:tcW w:w="1860" w:type="dxa"/>
            <w:tcMar>
              <w:top w:w="0" w:type="dxa"/>
              <w:bottom w:w="0" w:type="dxa"/>
            </w:tcMar>
            <w:vAlign w:val="center"/>
          </w:tcPr>
          <w:p w14:paraId="244D1B3C" w14:textId="77777777" w:rsidR="00EC0600" w:rsidRDefault="003F683D">
            <w:pPr>
              <w:keepNext/>
              <w:keepLines/>
              <w:spacing w:after="0" w:line="240" w:lineRule="auto"/>
              <w:jc w:val="right"/>
            </w:pPr>
            <w:r>
              <w:rPr>
                <w:sz w:val="18"/>
              </w:rPr>
              <w:t>3.677.172,21</w:t>
            </w:r>
          </w:p>
        </w:tc>
        <w:tc>
          <w:tcPr>
            <w:tcW w:w="700" w:type="dxa"/>
            <w:tcMar>
              <w:top w:w="0" w:type="dxa"/>
              <w:bottom w:w="0" w:type="dxa"/>
            </w:tcMar>
            <w:vAlign w:val="center"/>
          </w:tcPr>
          <w:p w14:paraId="3D1A8358" w14:textId="77777777" w:rsidR="00EC0600" w:rsidRDefault="003F683D">
            <w:pPr>
              <w:keepNext/>
              <w:keepLines/>
              <w:spacing w:after="0" w:line="240" w:lineRule="auto"/>
              <w:jc w:val="right"/>
            </w:pPr>
            <w:r>
              <w:rPr>
                <w:sz w:val="18"/>
              </w:rPr>
              <w:t>349,8</w:t>
            </w:r>
          </w:p>
        </w:tc>
      </w:tr>
    </w:tbl>
    <w:p w14:paraId="1BD7E75B" w14:textId="77777777" w:rsidR="00EC0600" w:rsidRDefault="00EC0600">
      <w:pPr>
        <w:spacing w:after="0"/>
      </w:pPr>
    </w:p>
    <w:p w14:paraId="44D34548" w14:textId="77777777" w:rsidR="00EC0600" w:rsidRDefault="003F683D">
      <w:pPr>
        <w:jc w:val="both"/>
      </w:pPr>
      <w:r>
        <w:t>Potencijalne obveze po osnovi sudskih sporova iznose 421.696,24 EUR,  a odnose se na dva sudska spora koja je pokrenuo Lavčević d.d., OIB: 71421617824 i Lavčević inženjering d.d., OIB: 61073136920 kao glavni izvođači građevinskih radova na Studentskom domu „ Palacin“. U više navrata je u toku 2025. godine odgađano pripremno ročište. Za oba sudska spora pripremno ročište je ponovo zakazano za 04.02.2026. godine na Trgovačkom sudu u Zadru, Stalna služba u Šibeniku.</w:t>
      </w:r>
    </w:p>
    <w:p w14:paraId="7815AFF9" w14:textId="77777777" w:rsidR="00EC0600" w:rsidRDefault="003F683D">
      <w:pPr>
        <w:jc w:val="both"/>
      </w:pPr>
      <w:r>
        <w:t> </w:t>
      </w:r>
    </w:p>
    <w:tbl>
      <w:tblPr>
        <w:tblStyle w:val="TableGrid"/>
        <w:tblW w:w="5000" w:type="pct"/>
        <w:tblLook w:val="04A0" w:firstRow="1" w:lastRow="0" w:firstColumn="1" w:lastColumn="0" w:noHBand="0" w:noVBand="1"/>
      </w:tblPr>
      <w:tblGrid>
        <w:gridCol w:w="2016"/>
        <w:gridCol w:w="1458"/>
        <w:gridCol w:w="1459"/>
        <w:gridCol w:w="1723"/>
        <w:gridCol w:w="1403"/>
        <w:gridCol w:w="1003"/>
      </w:tblGrid>
      <w:tr w:rsidR="00EC0600" w14:paraId="66FF8FC0" w14:textId="77777777">
        <w:tc>
          <w:tcPr>
            <w:tcW w:w="999" w:type="pct"/>
            <w:vAlign w:val="center"/>
          </w:tcPr>
          <w:p w14:paraId="730CD4F8" w14:textId="77777777" w:rsidR="00EC0600" w:rsidRDefault="003F683D">
            <w:r>
              <w:t>Tužitelji</w:t>
            </w:r>
          </w:p>
        </w:tc>
        <w:tc>
          <w:tcPr>
            <w:tcW w:w="999" w:type="pct"/>
            <w:vAlign w:val="center"/>
          </w:tcPr>
          <w:p w14:paraId="4E53357D" w14:textId="77777777" w:rsidR="00EC0600" w:rsidRDefault="003F683D">
            <w:r>
              <w:t>Sažeti opis</w:t>
            </w:r>
          </w:p>
        </w:tc>
        <w:tc>
          <w:tcPr>
            <w:tcW w:w="999" w:type="pct"/>
            <w:vAlign w:val="center"/>
          </w:tcPr>
          <w:p w14:paraId="6937DEF0" w14:textId="77777777" w:rsidR="00EC0600" w:rsidRDefault="003F683D">
            <w:r>
              <w:t>Iznos glavnice</w:t>
            </w:r>
          </w:p>
        </w:tc>
        <w:tc>
          <w:tcPr>
            <w:tcW w:w="999" w:type="pct"/>
            <w:vAlign w:val="center"/>
          </w:tcPr>
          <w:p w14:paraId="1F7097EC" w14:textId="77777777" w:rsidR="00EC0600" w:rsidRDefault="003F683D">
            <w:r>
              <w:t xml:space="preserve">Procjenjeno vrijeme </w:t>
            </w:r>
            <w:r>
              <w:lastRenderedPageBreak/>
              <w:t>odljeva/priljeva sredstava</w:t>
            </w:r>
          </w:p>
        </w:tc>
        <w:tc>
          <w:tcPr>
            <w:tcW w:w="500" w:type="pct"/>
            <w:vAlign w:val="center"/>
          </w:tcPr>
          <w:p w14:paraId="3D810071" w14:textId="77777777" w:rsidR="00EC0600" w:rsidRDefault="003F683D">
            <w:r>
              <w:lastRenderedPageBreak/>
              <w:t>Procjena financijskog učinka</w:t>
            </w:r>
          </w:p>
        </w:tc>
        <w:tc>
          <w:tcPr>
            <w:tcW w:w="500" w:type="pct"/>
            <w:vAlign w:val="center"/>
          </w:tcPr>
          <w:p w14:paraId="18FAC260" w14:textId="77777777" w:rsidR="00EC0600" w:rsidRDefault="003F683D">
            <w:r>
              <w:t>Početak sudskog spora</w:t>
            </w:r>
          </w:p>
        </w:tc>
      </w:tr>
      <w:tr w:rsidR="00EC0600" w14:paraId="177DED41" w14:textId="77777777">
        <w:tc>
          <w:tcPr>
            <w:tcW w:w="999" w:type="pct"/>
            <w:vAlign w:val="center"/>
          </w:tcPr>
          <w:p w14:paraId="753A9F66" w14:textId="77777777" w:rsidR="00EC0600" w:rsidRDefault="003F683D">
            <w:r>
              <w:t>LAVČEVIĆ-INŽENJERING D.D. OIB: 61073136920</w:t>
            </w:r>
          </w:p>
          <w:p w14:paraId="65020669" w14:textId="77777777" w:rsidR="00EC0600" w:rsidRDefault="003F683D">
            <w:r>
              <w:t>LAVČEVIĆ D.D OIB:71421617824</w:t>
            </w:r>
          </w:p>
        </w:tc>
        <w:tc>
          <w:tcPr>
            <w:tcW w:w="999" w:type="pct"/>
            <w:vAlign w:val="center"/>
          </w:tcPr>
          <w:p w14:paraId="19BCDBD0" w14:textId="77777777" w:rsidR="00EC0600" w:rsidRDefault="003F683D">
            <w:r>
              <w:t>Naknada štete</w:t>
            </w:r>
          </w:p>
          <w:p w14:paraId="7D498317" w14:textId="77777777" w:rsidR="00EC0600" w:rsidRDefault="003F683D">
            <w:r>
              <w:t>Izgradnja SD "Palacin"</w:t>
            </w:r>
          </w:p>
        </w:tc>
        <w:tc>
          <w:tcPr>
            <w:tcW w:w="999" w:type="pct"/>
            <w:vAlign w:val="center"/>
          </w:tcPr>
          <w:p w14:paraId="083702F8" w14:textId="77777777" w:rsidR="00EC0600" w:rsidRDefault="003F683D">
            <w:pPr>
              <w:keepNext/>
              <w:jc w:val="center"/>
            </w:pPr>
            <w:r>
              <w:t>90.525,53</w:t>
            </w:r>
          </w:p>
        </w:tc>
        <w:tc>
          <w:tcPr>
            <w:tcW w:w="999" w:type="pct"/>
            <w:vAlign w:val="center"/>
          </w:tcPr>
          <w:p w14:paraId="41799014" w14:textId="77777777" w:rsidR="00EC0600" w:rsidRDefault="003F683D">
            <w:pPr>
              <w:keepNext/>
              <w:jc w:val="center"/>
            </w:pPr>
            <w:r>
              <w:t> </w:t>
            </w:r>
          </w:p>
        </w:tc>
        <w:tc>
          <w:tcPr>
            <w:tcW w:w="500" w:type="pct"/>
            <w:vAlign w:val="center"/>
          </w:tcPr>
          <w:p w14:paraId="6F991AA4" w14:textId="77777777" w:rsidR="00EC0600" w:rsidRDefault="003F683D">
            <w:r>
              <w:t> </w:t>
            </w:r>
          </w:p>
        </w:tc>
        <w:tc>
          <w:tcPr>
            <w:tcW w:w="500" w:type="pct"/>
            <w:vAlign w:val="center"/>
          </w:tcPr>
          <w:p w14:paraId="5F9FFB70" w14:textId="77777777" w:rsidR="00EC0600" w:rsidRDefault="003F683D">
            <w:r>
              <w:t> </w:t>
            </w:r>
          </w:p>
        </w:tc>
      </w:tr>
      <w:tr w:rsidR="00EC0600" w14:paraId="63B05392" w14:textId="77777777">
        <w:tc>
          <w:tcPr>
            <w:tcW w:w="999" w:type="pct"/>
            <w:vAlign w:val="center"/>
          </w:tcPr>
          <w:p w14:paraId="550389DD" w14:textId="77777777" w:rsidR="00EC0600" w:rsidRDefault="003F683D">
            <w:r>
              <w:t>LAVČEVIĆ-INŽENJERING D.D. OIB: 61073136920</w:t>
            </w:r>
          </w:p>
          <w:p w14:paraId="03CCC66B" w14:textId="77777777" w:rsidR="00EC0600" w:rsidRDefault="003F683D">
            <w:r>
              <w:t>LAVČEVIĆ D.D OIB:71421617824</w:t>
            </w:r>
          </w:p>
        </w:tc>
        <w:tc>
          <w:tcPr>
            <w:tcW w:w="999" w:type="pct"/>
            <w:vAlign w:val="center"/>
          </w:tcPr>
          <w:p w14:paraId="61E4B642" w14:textId="77777777" w:rsidR="00EC0600" w:rsidRDefault="003F683D">
            <w:r>
              <w:t>Naknada štete</w:t>
            </w:r>
          </w:p>
          <w:p w14:paraId="1E30F572" w14:textId="77777777" w:rsidR="00EC0600" w:rsidRDefault="003F683D">
            <w:r>
              <w:t>Izgradnja SD "Palacin"</w:t>
            </w:r>
          </w:p>
        </w:tc>
        <w:tc>
          <w:tcPr>
            <w:tcW w:w="999" w:type="pct"/>
            <w:vAlign w:val="center"/>
          </w:tcPr>
          <w:p w14:paraId="5744C65E" w14:textId="77777777" w:rsidR="00EC0600" w:rsidRDefault="003F683D">
            <w:pPr>
              <w:keepNext/>
              <w:jc w:val="center"/>
            </w:pPr>
            <w:r>
              <w:t>331.170,71</w:t>
            </w:r>
          </w:p>
        </w:tc>
        <w:tc>
          <w:tcPr>
            <w:tcW w:w="999" w:type="pct"/>
            <w:vAlign w:val="center"/>
          </w:tcPr>
          <w:p w14:paraId="047AE795" w14:textId="77777777" w:rsidR="00EC0600" w:rsidRDefault="003F683D">
            <w:pPr>
              <w:keepNext/>
              <w:jc w:val="center"/>
            </w:pPr>
            <w:r>
              <w:t> </w:t>
            </w:r>
          </w:p>
        </w:tc>
        <w:tc>
          <w:tcPr>
            <w:tcW w:w="500" w:type="pct"/>
            <w:vAlign w:val="center"/>
          </w:tcPr>
          <w:p w14:paraId="7A12F406" w14:textId="77777777" w:rsidR="00EC0600" w:rsidRDefault="003F683D">
            <w:r>
              <w:t> </w:t>
            </w:r>
          </w:p>
        </w:tc>
        <w:tc>
          <w:tcPr>
            <w:tcW w:w="500" w:type="pct"/>
            <w:vAlign w:val="center"/>
          </w:tcPr>
          <w:p w14:paraId="44289386" w14:textId="77777777" w:rsidR="00EC0600" w:rsidRDefault="003F683D">
            <w:r>
              <w:t> </w:t>
            </w:r>
          </w:p>
        </w:tc>
      </w:tr>
    </w:tbl>
    <w:p w14:paraId="7E82E459" w14:textId="77777777" w:rsidR="00EC0600" w:rsidRDefault="003F683D">
      <w:r>
        <w:t> </w:t>
      </w:r>
    </w:p>
    <w:p w14:paraId="7E7F2224" w14:textId="77777777" w:rsidR="00EC0600" w:rsidRDefault="003F683D">
      <w:r>
        <w:t>Na dan 31.12.2025. iznos od 1.051.230,54 EUR-a odnosi se na primljene garancije za dobro izvršene građevinske radove i isporučenu opremu za Studentski dom ''Palacin''. </w:t>
      </w:r>
    </w:p>
    <w:p w14:paraId="6E4DAA00" w14:textId="77777777" w:rsidR="00EC0600" w:rsidRDefault="003F683D">
      <w:r>
        <w:t>Popis garancija dajemo u nastavku:</w:t>
      </w:r>
    </w:p>
    <w:p w14:paraId="347FA3A2" w14:textId="77777777" w:rsidR="00EC0600" w:rsidRDefault="003F683D">
      <w:r>
        <w:t> </w:t>
      </w:r>
    </w:p>
    <w:tbl>
      <w:tblPr>
        <w:tblStyle w:val="TableGrid"/>
        <w:tblW w:w="5000" w:type="pct"/>
        <w:tblLook w:val="04A0" w:firstRow="1" w:lastRow="0" w:firstColumn="1" w:lastColumn="0" w:noHBand="0" w:noVBand="1"/>
      </w:tblPr>
      <w:tblGrid>
        <w:gridCol w:w="1630"/>
        <w:gridCol w:w="2777"/>
        <w:gridCol w:w="1512"/>
        <w:gridCol w:w="1571"/>
        <w:gridCol w:w="1572"/>
      </w:tblGrid>
      <w:tr w:rsidR="00EC0600" w14:paraId="0E6F4337" w14:textId="77777777">
        <w:trPr>
          <w:trHeight w:val="542"/>
        </w:trPr>
        <w:tc>
          <w:tcPr>
            <w:tcW w:w="1000" w:type="pct"/>
            <w:vAlign w:val="center"/>
          </w:tcPr>
          <w:p w14:paraId="1FB54B68" w14:textId="77777777" w:rsidR="00EC0600" w:rsidRDefault="003F683D">
            <w:r>
              <w:rPr>
                <w:b/>
              </w:rPr>
              <w:t>DATUM IZDAVANJA</w:t>
            </w:r>
          </w:p>
        </w:tc>
        <w:tc>
          <w:tcPr>
            <w:tcW w:w="1000" w:type="pct"/>
            <w:vAlign w:val="center"/>
          </w:tcPr>
          <w:p w14:paraId="091A8830" w14:textId="77777777" w:rsidR="00EC0600" w:rsidRDefault="003F683D">
            <w:r>
              <w:rPr>
                <w:b/>
              </w:rPr>
              <w:t>DOBAVLJAČ</w:t>
            </w:r>
          </w:p>
        </w:tc>
        <w:tc>
          <w:tcPr>
            <w:tcW w:w="1000" w:type="pct"/>
            <w:vAlign w:val="center"/>
          </w:tcPr>
          <w:p w14:paraId="59E73DC7" w14:textId="77777777" w:rsidR="00EC0600" w:rsidRDefault="003F683D">
            <w:r>
              <w:rPr>
                <w:b/>
              </w:rPr>
              <w:t>IZNOS</w:t>
            </w:r>
          </w:p>
        </w:tc>
        <w:tc>
          <w:tcPr>
            <w:tcW w:w="1000" w:type="pct"/>
            <w:vAlign w:val="center"/>
          </w:tcPr>
          <w:p w14:paraId="1739D8CE" w14:textId="77777777" w:rsidR="00EC0600" w:rsidRDefault="003F683D">
            <w:r>
              <w:rPr>
                <w:b/>
              </w:rPr>
              <w:t>ROK VAŽENJA</w:t>
            </w:r>
          </w:p>
        </w:tc>
        <w:tc>
          <w:tcPr>
            <w:tcW w:w="1000" w:type="pct"/>
            <w:vAlign w:val="center"/>
          </w:tcPr>
          <w:p w14:paraId="213F24B0" w14:textId="77777777" w:rsidR="00EC0600" w:rsidRDefault="003F683D">
            <w:r>
              <w:rPr>
                <w:b/>
              </w:rPr>
              <w:t>PREDMET UGOVORA</w:t>
            </w:r>
          </w:p>
        </w:tc>
      </w:tr>
      <w:tr w:rsidR="00EC0600" w14:paraId="35D87AE7" w14:textId="77777777">
        <w:trPr>
          <w:trHeight w:val="878"/>
        </w:trPr>
        <w:tc>
          <w:tcPr>
            <w:tcW w:w="1000" w:type="pct"/>
            <w:vAlign w:val="center"/>
          </w:tcPr>
          <w:p w14:paraId="5D724F33" w14:textId="77777777" w:rsidR="00EC0600" w:rsidRDefault="003F683D">
            <w:r>
              <w:t>29.07.2019.</w:t>
            </w:r>
          </w:p>
        </w:tc>
        <w:tc>
          <w:tcPr>
            <w:tcW w:w="1000" w:type="pct"/>
            <w:vAlign w:val="center"/>
          </w:tcPr>
          <w:p w14:paraId="0555368A" w14:textId="77777777" w:rsidR="00EC0600" w:rsidRDefault="003F683D">
            <w:r>
              <w:t>TEKTON GRADNJA D.O.O. 23929404756</w:t>
            </w:r>
          </w:p>
        </w:tc>
        <w:tc>
          <w:tcPr>
            <w:tcW w:w="1000" w:type="pct"/>
            <w:vAlign w:val="center"/>
          </w:tcPr>
          <w:p w14:paraId="311A0BE6" w14:textId="77777777" w:rsidR="00EC0600" w:rsidRDefault="003F683D">
            <w:r>
              <w:t>62.817,02</w:t>
            </w:r>
          </w:p>
        </w:tc>
        <w:tc>
          <w:tcPr>
            <w:tcW w:w="1000" w:type="pct"/>
            <w:vAlign w:val="center"/>
          </w:tcPr>
          <w:p w14:paraId="4F474022" w14:textId="77777777" w:rsidR="00EC0600" w:rsidRDefault="003F683D">
            <w:r>
              <w:t>01.07.2027.</w:t>
            </w:r>
          </w:p>
        </w:tc>
        <w:tc>
          <w:tcPr>
            <w:tcW w:w="1000" w:type="pct"/>
            <w:vAlign w:val="center"/>
          </w:tcPr>
          <w:p w14:paraId="7B74406C" w14:textId="77777777" w:rsidR="00EC0600" w:rsidRDefault="003F683D">
            <w:r>
              <w:t>3.kat zgrada Veleučilišta</w:t>
            </w:r>
          </w:p>
        </w:tc>
      </w:tr>
      <w:tr w:rsidR="00EC0600" w14:paraId="7D17C1D0" w14:textId="77777777">
        <w:trPr>
          <w:trHeight w:val="878"/>
        </w:trPr>
        <w:tc>
          <w:tcPr>
            <w:tcW w:w="1000" w:type="pct"/>
            <w:vAlign w:val="center"/>
          </w:tcPr>
          <w:p w14:paraId="4CEFB992" w14:textId="77777777" w:rsidR="00EC0600" w:rsidRDefault="003F683D">
            <w:r>
              <w:t>28.04.2023.</w:t>
            </w:r>
          </w:p>
        </w:tc>
        <w:tc>
          <w:tcPr>
            <w:tcW w:w="1000" w:type="pct"/>
            <w:vAlign w:val="center"/>
          </w:tcPr>
          <w:p w14:paraId="23AF0516" w14:textId="77777777" w:rsidR="00EC0600" w:rsidRDefault="003F683D">
            <w:r>
              <w:t>LAVČEVIĆ-INŽENJERING D.D. OIB: 61073136920</w:t>
            </w:r>
          </w:p>
        </w:tc>
        <w:tc>
          <w:tcPr>
            <w:tcW w:w="1000" w:type="pct"/>
            <w:vAlign w:val="center"/>
          </w:tcPr>
          <w:p w14:paraId="0C62D7D0" w14:textId="77777777" w:rsidR="00EC0600" w:rsidRDefault="003F683D">
            <w:r>
              <w:t>845.741,93</w:t>
            </w:r>
          </w:p>
        </w:tc>
        <w:tc>
          <w:tcPr>
            <w:tcW w:w="1000" w:type="pct"/>
            <w:vAlign w:val="center"/>
          </w:tcPr>
          <w:p w14:paraId="46FE1097" w14:textId="77777777" w:rsidR="00EC0600" w:rsidRDefault="003F683D">
            <w:r>
              <w:t>07.03.2028.</w:t>
            </w:r>
          </w:p>
        </w:tc>
        <w:tc>
          <w:tcPr>
            <w:tcW w:w="1000" w:type="pct"/>
            <w:vAlign w:val="center"/>
          </w:tcPr>
          <w:p w14:paraId="1BCF5C61" w14:textId="77777777" w:rsidR="00EC0600" w:rsidRDefault="003F683D">
            <w:r>
              <w:t>Zgrada SD Palacin</w:t>
            </w:r>
          </w:p>
        </w:tc>
      </w:tr>
      <w:tr w:rsidR="00EC0600" w14:paraId="2E127D61" w14:textId="77777777">
        <w:trPr>
          <w:trHeight w:val="878"/>
        </w:trPr>
        <w:tc>
          <w:tcPr>
            <w:tcW w:w="1000" w:type="pct"/>
            <w:vAlign w:val="center"/>
          </w:tcPr>
          <w:p w14:paraId="13733AD5" w14:textId="77777777" w:rsidR="00EC0600" w:rsidRDefault="003F683D">
            <w:r>
              <w:t>04.07.2023.</w:t>
            </w:r>
          </w:p>
        </w:tc>
        <w:tc>
          <w:tcPr>
            <w:tcW w:w="1000" w:type="pct"/>
            <w:vAlign w:val="center"/>
          </w:tcPr>
          <w:p w14:paraId="46A4B101" w14:textId="77777777" w:rsidR="00EC0600" w:rsidRDefault="003F683D">
            <w:r>
              <w:t>ČERNELIĆ D.O.O., OIB: 40174103130</w:t>
            </w:r>
          </w:p>
        </w:tc>
        <w:tc>
          <w:tcPr>
            <w:tcW w:w="1000" w:type="pct"/>
            <w:vAlign w:val="center"/>
          </w:tcPr>
          <w:p w14:paraId="372752F9" w14:textId="77777777" w:rsidR="00EC0600" w:rsidRDefault="003F683D">
            <w:r>
              <w:t>14.315,03</w:t>
            </w:r>
          </w:p>
        </w:tc>
        <w:tc>
          <w:tcPr>
            <w:tcW w:w="1000" w:type="pct"/>
            <w:vAlign w:val="center"/>
          </w:tcPr>
          <w:p w14:paraId="7AA6EB9A" w14:textId="77777777" w:rsidR="00EC0600" w:rsidRDefault="003F683D">
            <w:r>
              <w:t>29.06.2028.</w:t>
            </w:r>
          </w:p>
        </w:tc>
        <w:tc>
          <w:tcPr>
            <w:tcW w:w="1000" w:type="pct"/>
            <w:vAlign w:val="center"/>
          </w:tcPr>
          <w:p w14:paraId="70A96848" w14:textId="77777777" w:rsidR="00EC0600" w:rsidRDefault="003F683D">
            <w:r>
              <w:t>Oprema SD Palacin</w:t>
            </w:r>
          </w:p>
        </w:tc>
      </w:tr>
      <w:tr w:rsidR="00EC0600" w14:paraId="460E2AE3" w14:textId="77777777">
        <w:trPr>
          <w:trHeight w:val="878"/>
        </w:trPr>
        <w:tc>
          <w:tcPr>
            <w:tcW w:w="1000" w:type="pct"/>
            <w:vAlign w:val="center"/>
          </w:tcPr>
          <w:p w14:paraId="1660C962" w14:textId="77777777" w:rsidR="00EC0600" w:rsidRDefault="003F683D">
            <w:r>
              <w:t>07.07.2023.</w:t>
            </w:r>
          </w:p>
        </w:tc>
        <w:tc>
          <w:tcPr>
            <w:tcW w:w="1000" w:type="pct"/>
            <w:vAlign w:val="center"/>
          </w:tcPr>
          <w:p w14:paraId="1A1A7199" w14:textId="77777777" w:rsidR="00EC0600" w:rsidRDefault="003F683D">
            <w:r>
              <w:t>DB-OPREMA, OBRT  OIB:60300700828</w:t>
            </w:r>
          </w:p>
        </w:tc>
        <w:tc>
          <w:tcPr>
            <w:tcW w:w="1000" w:type="pct"/>
            <w:vAlign w:val="center"/>
          </w:tcPr>
          <w:p w14:paraId="0384A884" w14:textId="77777777" w:rsidR="00EC0600" w:rsidRDefault="003F683D">
            <w:r>
              <w:t>23.115.,91</w:t>
            </w:r>
          </w:p>
        </w:tc>
        <w:tc>
          <w:tcPr>
            <w:tcW w:w="1000" w:type="pct"/>
            <w:vAlign w:val="center"/>
          </w:tcPr>
          <w:p w14:paraId="134190B2" w14:textId="77777777" w:rsidR="00EC0600" w:rsidRDefault="003F683D">
            <w:r>
              <w:t>08.07.2027.</w:t>
            </w:r>
          </w:p>
        </w:tc>
        <w:tc>
          <w:tcPr>
            <w:tcW w:w="1000" w:type="pct"/>
            <w:vAlign w:val="center"/>
          </w:tcPr>
          <w:p w14:paraId="5558ADBE" w14:textId="77777777" w:rsidR="00EC0600" w:rsidRDefault="003F683D">
            <w:r>
              <w:t>Oprema SD Palacin</w:t>
            </w:r>
          </w:p>
        </w:tc>
      </w:tr>
      <w:tr w:rsidR="00EC0600" w14:paraId="2C9C1ED2" w14:textId="77777777">
        <w:trPr>
          <w:trHeight w:val="878"/>
        </w:trPr>
        <w:tc>
          <w:tcPr>
            <w:tcW w:w="1000" w:type="pct"/>
            <w:vAlign w:val="center"/>
          </w:tcPr>
          <w:p w14:paraId="289030A4" w14:textId="77777777" w:rsidR="00EC0600" w:rsidRDefault="003F683D">
            <w:r>
              <w:t>17.07.2023.</w:t>
            </w:r>
          </w:p>
        </w:tc>
        <w:tc>
          <w:tcPr>
            <w:tcW w:w="1000" w:type="pct"/>
            <w:vAlign w:val="center"/>
          </w:tcPr>
          <w:p w14:paraId="3EA6C5D1" w14:textId="77777777" w:rsidR="00EC0600" w:rsidRDefault="003F683D">
            <w:r>
              <w:t>ČERNELIĆ D.O.O., OIB: 40174103130</w:t>
            </w:r>
          </w:p>
        </w:tc>
        <w:tc>
          <w:tcPr>
            <w:tcW w:w="1000" w:type="pct"/>
            <w:vAlign w:val="center"/>
          </w:tcPr>
          <w:p w14:paraId="1EFFAC48" w14:textId="77777777" w:rsidR="00EC0600" w:rsidRDefault="003F683D">
            <w:r>
              <w:t>105.240,65</w:t>
            </w:r>
          </w:p>
        </w:tc>
        <w:tc>
          <w:tcPr>
            <w:tcW w:w="1000" w:type="pct"/>
            <w:vAlign w:val="center"/>
          </w:tcPr>
          <w:p w14:paraId="51811953" w14:textId="77777777" w:rsidR="00EC0600" w:rsidRDefault="003F683D">
            <w:r>
              <w:t>29.06.2027.</w:t>
            </w:r>
          </w:p>
        </w:tc>
        <w:tc>
          <w:tcPr>
            <w:tcW w:w="1000" w:type="pct"/>
            <w:vAlign w:val="center"/>
          </w:tcPr>
          <w:p w14:paraId="60B576D1" w14:textId="77777777" w:rsidR="00EC0600" w:rsidRDefault="003F683D">
            <w:r>
              <w:t>Oprema SD Palacin</w:t>
            </w:r>
          </w:p>
        </w:tc>
      </w:tr>
      <w:tr w:rsidR="00EC0600" w14:paraId="323887F0" w14:textId="77777777">
        <w:trPr>
          <w:trHeight w:val="377"/>
        </w:trPr>
        <w:tc>
          <w:tcPr>
            <w:tcW w:w="1000" w:type="pct"/>
            <w:vAlign w:val="center"/>
          </w:tcPr>
          <w:p w14:paraId="7C573188" w14:textId="77777777" w:rsidR="00EC0600" w:rsidRDefault="003F683D">
            <w:r>
              <w:t>U</w:t>
            </w:r>
            <w:r>
              <w:rPr>
                <w:b/>
              </w:rPr>
              <w:t>KUPNO:</w:t>
            </w:r>
          </w:p>
        </w:tc>
        <w:tc>
          <w:tcPr>
            <w:tcW w:w="1000" w:type="pct"/>
            <w:vAlign w:val="center"/>
          </w:tcPr>
          <w:p w14:paraId="3814270B" w14:textId="77777777" w:rsidR="00EC0600" w:rsidRDefault="003F683D">
            <w:r>
              <w:t> </w:t>
            </w:r>
          </w:p>
        </w:tc>
        <w:tc>
          <w:tcPr>
            <w:tcW w:w="1000" w:type="pct"/>
            <w:vAlign w:val="center"/>
          </w:tcPr>
          <w:p w14:paraId="782A958D" w14:textId="77777777" w:rsidR="00EC0600" w:rsidRDefault="003F683D">
            <w:r>
              <w:rPr>
                <w:b/>
              </w:rPr>
              <w:t>1.051.230,54</w:t>
            </w:r>
          </w:p>
        </w:tc>
        <w:tc>
          <w:tcPr>
            <w:tcW w:w="1000" w:type="pct"/>
            <w:vAlign w:val="center"/>
          </w:tcPr>
          <w:p w14:paraId="14B84A25" w14:textId="77777777" w:rsidR="00EC0600" w:rsidRDefault="003F683D">
            <w:r>
              <w:t> </w:t>
            </w:r>
          </w:p>
        </w:tc>
        <w:tc>
          <w:tcPr>
            <w:tcW w:w="1000" w:type="pct"/>
            <w:vAlign w:val="center"/>
          </w:tcPr>
          <w:p w14:paraId="7D013418" w14:textId="77777777" w:rsidR="00EC0600" w:rsidRDefault="003F683D">
            <w:r>
              <w:t> </w:t>
            </w:r>
          </w:p>
        </w:tc>
      </w:tr>
    </w:tbl>
    <w:p w14:paraId="3DC3C88C" w14:textId="77777777" w:rsidR="00EC0600" w:rsidRDefault="00EC0600"/>
    <w:p w14:paraId="1AF16BD8" w14:textId="77777777" w:rsidR="00EC0600" w:rsidRDefault="003F683D">
      <w:pPr>
        <w:keepNext/>
        <w:spacing w:line="240" w:lineRule="auto"/>
        <w:jc w:val="center"/>
      </w:pPr>
      <w:r>
        <w:rPr>
          <w:b/>
          <w:sz w:val="28"/>
        </w:rPr>
        <w:lastRenderedPageBreak/>
        <w:t>Izvještaj o rashodima prema funkcijskoj klasifikaciji</w:t>
      </w:r>
    </w:p>
    <w:p w14:paraId="3AC2EDCC" w14:textId="77777777" w:rsidR="00EC0600" w:rsidRDefault="003F683D">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3EB6407D" w14:textId="77777777">
        <w:trPr>
          <w:cantSplit/>
        </w:trPr>
        <w:tc>
          <w:tcPr>
            <w:tcW w:w="700" w:type="dxa"/>
            <w:shd w:val="clear" w:color="auto" w:fill="E7F0F9"/>
            <w:tcMar>
              <w:top w:w="0" w:type="dxa"/>
              <w:bottom w:w="0" w:type="dxa"/>
            </w:tcMar>
            <w:vAlign w:val="center"/>
          </w:tcPr>
          <w:p w14:paraId="63298B04"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BC70579"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29D7D0"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9490CC5" w14:textId="77777777" w:rsidR="00EC0600" w:rsidRDefault="003F683D">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27BC2F9" w14:textId="77777777" w:rsidR="00EC0600" w:rsidRDefault="003F683D">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F3A965" w14:textId="77777777" w:rsidR="00EC0600" w:rsidRDefault="003F683D">
            <w:pPr>
              <w:keepNext/>
              <w:keepLines/>
              <w:spacing w:after="0" w:line="240" w:lineRule="auto"/>
              <w:jc w:val="center"/>
            </w:pPr>
            <w:r>
              <w:rPr>
                <w:b/>
                <w:sz w:val="18"/>
              </w:rPr>
              <w:t>Indeks (%)</w:t>
            </w:r>
          </w:p>
        </w:tc>
      </w:tr>
      <w:tr w:rsidR="00EC0600" w14:paraId="0501226C" w14:textId="77777777">
        <w:trPr>
          <w:cantSplit/>
          <w:trHeight w:val="560"/>
        </w:trPr>
        <w:tc>
          <w:tcPr>
            <w:tcW w:w="700" w:type="dxa"/>
            <w:tcMar>
              <w:top w:w="0" w:type="dxa"/>
              <w:bottom w:w="0" w:type="dxa"/>
            </w:tcMar>
            <w:vAlign w:val="center"/>
          </w:tcPr>
          <w:p w14:paraId="70D4C91C" w14:textId="77777777" w:rsidR="00EC0600" w:rsidRDefault="003F683D">
            <w:pPr>
              <w:keepNext/>
              <w:keepLines/>
              <w:spacing w:after="0" w:line="240" w:lineRule="auto"/>
            </w:pPr>
            <w:r>
              <w:rPr>
                <w:sz w:val="18"/>
              </w:rPr>
              <w:t>0941</w:t>
            </w:r>
          </w:p>
        </w:tc>
        <w:tc>
          <w:tcPr>
            <w:tcW w:w="3180" w:type="dxa"/>
            <w:tcMar>
              <w:top w:w="0" w:type="dxa"/>
              <w:bottom w:w="0" w:type="dxa"/>
            </w:tcMar>
            <w:vAlign w:val="center"/>
          </w:tcPr>
          <w:p w14:paraId="2E341EE0" w14:textId="77777777" w:rsidR="00EC0600" w:rsidRDefault="003F683D">
            <w:pPr>
              <w:keepNext/>
              <w:keepLines/>
              <w:spacing w:after="0" w:line="240" w:lineRule="auto"/>
            </w:pPr>
            <w:r>
              <w:rPr>
                <w:sz w:val="18"/>
              </w:rPr>
              <w:t>Prvi stupanj visoke naobrazbe</w:t>
            </w:r>
          </w:p>
        </w:tc>
        <w:tc>
          <w:tcPr>
            <w:tcW w:w="700" w:type="dxa"/>
            <w:tcMar>
              <w:top w:w="0" w:type="dxa"/>
              <w:bottom w:w="0" w:type="dxa"/>
            </w:tcMar>
            <w:vAlign w:val="center"/>
          </w:tcPr>
          <w:p w14:paraId="209139D7" w14:textId="77777777" w:rsidR="00EC0600" w:rsidRDefault="003F683D">
            <w:pPr>
              <w:keepNext/>
              <w:keepLines/>
              <w:spacing w:after="0" w:line="240" w:lineRule="auto"/>
            </w:pPr>
            <w:r>
              <w:rPr>
                <w:sz w:val="18"/>
              </w:rPr>
              <w:t>0941</w:t>
            </w:r>
          </w:p>
        </w:tc>
        <w:tc>
          <w:tcPr>
            <w:tcW w:w="1860" w:type="dxa"/>
            <w:tcMar>
              <w:top w:w="0" w:type="dxa"/>
              <w:bottom w:w="0" w:type="dxa"/>
            </w:tcMar>
            <w:vAlign w:val="center"/>
          </w:tcPr>
          <w:p w14:paraId="7E64A500" w14:textId="77777777" w:rsidR="00EC0600" w:rsidRDefault="003F683D">
            <w:pPr>
              <w:keepNext/>
              <w:keepLines/>
              <w:spacing w:after="0" w:line="240" w:lineRule="auto"/>
              <w:jc w:val="right"/>
            </w:pPr>
            <w:r>
              <w:rPr>
                <w:sz w:val="18"/>
              </w:rPr>
              <w:t>2.924.163,13</w:t>
            </w:r>
          </w:p>
        </w:tc>
        <w:tc>
          <w:tcPr>
            <w:tcW w:w="1860" w:type="dxa"/>
            <w:tcMar>
              <w:top w:w="0" w:type="dxa"/>
              <w:bottom w:w="0" w:type="dxa"/>
            </w:tcMar>
            <w:vAlign w:val="center"/>
          </w:tcPr>
          <w:p w14:paraId="761ADE2B" w14:textId="77777777" w:rsidR="00EC0600" w:rsidRDefault="003F683D">
            <w:pPr>
              <w:keepNext/>
              <w:keepLines/>
              <w:spacing w:after="0" w:line="240" w:lineRule="auto"/>
              <w:jc w:val="right"/>
            </w:pPr>
            <w:r>
              <w:rPr>
                <w:sz w:val="18"/>
              </w:rPr>
              <w:t>3.461.893,69</w:t>
            </w:r>
          </w:p>
        </w:tc>
        <w:tc>
          <w:tcPr>
            <w:tcW w:w="700" w:type="dxa"/>
            <w:tcMar>
              <w:top w:w="0" w:type="dxa"/>
              <w:bottom w:w="0" w:type="dxa"/>
            </w:tcMar>
            <w:vAlign w:val="center"/>
          </w:tcPr>
          <w:p w14:paraId="7FCA0A7C" w14:textId="77777777" w:rsidR="00EC0600" w:rsidRDefault="003F683D">
            <w:pPr>
              <w:keepNext/>
              <w:keepLines/>
              <w:spacing w:after="0" w:line="240" w:lineRule="auto"/>
              <w:jc w:val="right"/>
            </w:pPr>
            <w:r>
              <w:rPr>
                <w:sz w:val="18"/>
              </w:rPr>
              <w:t>118,4</w:t>
            </w:r>
          </w:p>
        </w:tc>
      </w:tr>
    </w:tbl>
    <w:p w14:paraId="179247F4" w14:textId="77777777" w:rsidR="00EC0600" w:rsidRDefault="00EC0600">
      <w:pPr>
        <w:spacing w:after="0"/>
      </w:pPr>
    </w:p>
    <w:p w14:paraId="61DF1063" w14:textId="77777777" w:rsidR="00EC0600" w:rsidRDefault="003F683D">
      <w:pPr>
        <w:jc w:val="both"/>
      </w:pPr>
      <w:r>
        <w:t>Povećanje rashoda u funciji obrazovanja rezultata je povećanja rashoda poslovanja koji su uglavnom nastali zbog rasta plaća zaposlenika, te rasta troškova za intelektualne i osobne usluge nastale zbog povećanog broja vanjskih suradnika potrebnih za održavanje nastave.</w:t>
      </w:r>
    </w:p>
    <w:p w14:paraId="4584A15F" w14:textId="77777777" w:rsidR="00EC0600" w:rsidRDefault="00EC0600"/>
    <w:p w14:paraId="0C2F9993" w14:textId="77777777" w:rsidR="00EC0600" w:rsidRDefault="003F683D">
      <w:pPr>
        <w:keepNext/>
        <w:spacing w:line="240" w:lineRule="auto"/>
        <w:jc w:val="center"/>
      </w:pPr>
      <w:r>
        <w:rPr>
          <w:b/>
          <w:sz w:val="28"/>
        </w:rPr>
        <w:t>Promjene u vrijednosti i obujmu imovine i obveza</w:t>
      </w:r>
    </w:p>
    <w:p w14:paraId="19234AA3" w14:textId="77777777" w:rsidR="00EC0600" w:rsidRDefault="003F683D">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4CA008D1" w14:textId="77777777">
        <w:trPr>
          <w:cantSplit/>
        </w:trPr>
        <w:tc>
          <w:tcPr>
            <w:tcW w:w="700" w:type="dxa"/>
            <w:shd w:val="clear" w:color="auto" w:fill="E7F0F9"/>
            <w:tcMar>
              <w:top w:w="0" w:type="dxa"/>
              <w:bottom w:w="0" w:type="dxa"/>
            </w:tcMar>
            <w:vAlign w:val="center"/>
          </w:tcPr>
          <w:p w14:paraId="79F30576"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256D2F"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5DAA4E0"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F40882" w14:textId="77777777" w:rsidR="00EC0600" w:rsidRDefault="003F683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1FF7229E" w14:textId="77777777" w:rsidR="00EC0600" w:rsidRDefault="003F683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66F7D47F" w14:textId="77777777" w:rsidR="00EC0600" w:rsidRDefault="003F683D">
            <w:pPr>
              <w:keepNext/>
              <w:keepLines/>
              <w:spacing w:after="0" w:line="240" w:lineRule="auto"/>
              <w:jc w:val="center"/>
            </w:pPr>
            <w:r>
              <w:rPr>
                <w:b/>
                <w:sz w:val="18"/>
              </w:rPr>
              <w:t>Indeks (%)</w:t>
            </w:r>
          </w:p>
        </w:tc>
      </w:tr>
      <w:tr w:rsidR="00EC0600" w14:paraId="597F4A28" w14:textId="77777777">
        <w:trPr>
          <w:cantSplit/>
          <w:trHeight w:val="560"/>
        </w:trPr>
        <w:tc>
          <w:tcPr>
            <w:tcW w:w="700" w:type="dxa"/>
            <w:tcMar>
              <w:top w:w="0" w:type="dxa"/>
              <w:bottom w:w="0" w:type="dxa"/>
            </w:tcMar>
            <w:vAlign w:val="center"/>
          </w:tcPr>
          <w:p w14:paraId="327F1D5B" w14:textId="77777777" w:rsidR="00EC0600" w:rsidRDefault="00EC0600">
            <w:pPr>
              <w:keepNext/>
              <w:keepLines/>
              <w:spacing w:after="0" w:line="240" w:lineRule="auto"/>
            </w:pPr>
          </w:p>
        </w:tc>
        <w:tc>
          <w:tcPr>
            <w:tcW w:w="3180" w:type="dxa"/>
            <w:tcMar>
              <w:top w:w="0" w:type="dxa"/>
              <w:bottom w:w="0" w:type="dxa"/>
            </w:tcMar>
            <w:vAlign w:val="center"/>
          </w:tcPr>
          <w:p w14:paraId="51960752" w14:textId="77777777" w:rsidR="00EC0600" w:rsidRDefault="003F683D">
            <w:pPr>
              <w:keepNext/>
              <w:keepLines/>
              <w:spacing w:after="0" w:line="240" w:lineRule="auto"/>
            </w:pPr>
            <w:r>
              <w:rPr>
                <w:sz w:val="18"/>
              </w:rPr>
              <w:t>Promjene u vrijednosti nefinancijske imovine (šifre P002 do P007)</w:t>
            </w:r>
          </w:p>
        </w:tc>
        <w:tc>
          <w:tcPr>
            <w:tcW w:w="700" w:type="dxa"/>
            <w:tcMar>
              <w:top w:w="0" w:type="dxa"/>
              <w:bottom w:w="0" w:type="dxa"/>
            </w:tcMar>
            <w:vAlign w:val="center"/>
          </w:tcPr>
          <w:p w14:paraId="03A3B7C6" w14:textId="77777777" w:rsidR="00EC0600" w:rsidRDefault="003F683D">
            <w:pPr>
              <w:keepNext/>
              <w:keepLines/>
              <w:spacing w:after="0" w:line="240" w:lineRule="auto"/>
            </w:pPr>
            <w:r>
              <w:rPr>
                <w:sz w:val="18"/>
              </w:rPr>
              <w:t>P001</w:t>
            </w:r>
          </w:p>
        </w:tc>
        <w:tc>
          <w:tcPr>
            <w:tcW w:w="1860" w:type="dxa"/>
            <w:tcMar>
              <w:top w:w="0" w:type="dxa"/>
              <w:bottom w:w="0" w:type="dxa"/>
            </w:tcMar>
            <w:vAlign w:val="center"/>
          </w:tcPr>
          <w:p w14:paraId="3ACDD862" w14:textId="77777777" w:rsidR="00EC0600" w:rsidRDefault="003F683D">
            <w:pPr>
              <w:keepNext/>
              <w:keepLines/>
              <w:spacing w:after="0" w:line="240" w:lineRule="auto"/>
              <w:jc w:val="right"/>
            </w:pPr>
            <w:r>
              <w:rPr>
                <w:sz w:val="18"/>
              </w:rPr>
              <w:t>0,00</w:t>
            </w:r>
          </w:p>
        </w:tc>
        <w:tc>
          <w:tcPr>
            <w:tcW w:w="1860" w:type="dxa"/>
            <w:tcMar>
              <w:top w:w="0" w:type="dxa"/>
              <w:bottom w:w="0" w:type="dxa"/>
            </w:tcMar>
            <w:vAlign w:val="center"/>
          </w:tcPr>
          <w:p w14:paraId="05F2FCF3" w14:textId="77777777" w:rsidR="00EC0600" w:rsidRDefault="003F683D">
            <w:pPr>
              <w:keepNext/>
              <w:keepLines/>
              <w:spacing w:after="0" w:line="240" w:lineRule="auto"/>
              <w:jc w:val="right"/>
            </w:pPr>
            <w:r>
              <w:rPr>
                <w:sz w:val="18"/>
              </w:rPr>
              <w:t>593.327,99</w:t>
            </w:r>
          </w:p>
        </w:tc>
        <w:tc>
          <w:tcPr>
            <w:tcW w:w="700" w:type="dxa"/>
            <w:tcMar>
              <w:top w:w="0" w:type="dxa"/>
              <w:bottom w:w="0" w:type="dxa"/>
            </w:tcMar>
            <w:vAlign w:val="center"/>
          </w:tcPr>
          <w:p w14:paraId="55DEA57B" w14:textId="77777777" w:rsidR="00EC0600" w:rsidRDefault="003F683D">
            <w:pPr>
              <w:keepNext/>
              <w:keepLines/>
              <w:spacing w:after="0" w:line="240" w:lineRule="auto"/>
              <w:jc w:val="right"/>
            </w:pPr>
            <w:r>
              <w:rPr>
                <w:sz w:val="18"/>
              </w:rPr>
              <w:t>-</w:t>
            </w:r>
          </w:p>
        </w:tc>
      </w:tr>
    </w:tbl>
    <w:p w14:paraId="034CBEA5" w14:textId="77777777" w:rsidR="00EC0600" w:rsidRDefault="00EC0600">
      <w:pPr>
        <w:spacing w:after="0"/>
      </w:pPr>
    </w:p>
    <w:p w14:paraId="323A78D0" w14:textId="77777777" w:rsidR="00EC0600" w:rsidRDefault="003F683D">
      <w:pPr>
        <w:jc w:val="both"/>
      </w:pPr>
      <w:r>
        <w:t>Iznos od 593.327,99 EUR-a odnosi se na ispravak vrijednosti imovine za 2025.godinu.</w:t>
      </w:r>
    </w:p>
    <w:p w14:paraId="0839983D" w14:textId="77777777" w:rsidR="00EC0600" w:rsidRDefault="00EC0600"/>
    <w:p w14:paraId="24920A05" w14:textId="77777777" w:rsidR="00EC0600" w:rsidRDefault="003F683D">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EC0600" w14:paraId="5EF369BF" w14:textId="77777777">
        <w:trPr>
          <w:cantSplit/>
        </w:trPr>
        <w:tc>
          <w:tcPr>
            <w:tcW w:w="700" w:type="dxa"/>
            <w:shd w:val="clear" w:color="auto" w:fill="E7F0F9"/>
            <w:tcMar>
              <w:top w:w="0" w:type="dxa"/>
              <w:bottom w:w="0" w:type="dxa"/>
            </w:tcMar>
            <w:vAlign w:val="center"/>
          </w:tcPr>
          <w:p w14:paraId="11971B97"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0A250D"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3C6294"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9E8F2C" w14:textId="77777777" w:rsidR="00EC0600" w:rsidRDefault="003F683D">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9E768CB" w14:textId="77777777" w:rsidR="00EC0600" w:rsidRDefault="003F683D">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4DAC1D78" w14:textId="77777777" w:rsidR="00EC0600" w:rsidRDefault="003F683D">
            <w:pPr>
              <w:keepNext/>
              <w:keepLines/>
              <w:spacing w:after="0" w:line="240" w:lineRule="auto"/>
              <w:jc w:val="center"/>
            </w:pPr>
            <w:r>
              <w:rPr>
                <w:b/>
                <w:sz w:val="18"/>
              </w:rPr>
              <w:t>Indeks (%)</w:t>
            </w:r>
          </w:p>
        </w:tc>
      </w:tr>
      <w:tr w:rsidR="00EC0600" w14:paraId="02CA2CE7" w14:textId="77777777">
        <w:trPr>
          <w:cantSplit/>
          <w:trHeight w:val="560"/>
        </w:trPr>
        <w:tc>
          <w:tcPr>
            <w:tcW w:w="700" w:type="dxa"/>
            <w:tcMar>
              <w:top w:w="0" w:type="dxa"/>
              <w:bottom w:w="0" w:type="dxa"/>
            </w:tcMar>
            <w:vAlign w:val="center"/>
          </w:tcPr>
          <w:p w14:paraId="3B2CA678" w14:textId="77777777" w:rsidR="00EC0600" w:rsidRDefault="003F683D">
            <w:pPr>
              <w:keepNext/>
              <w:keepLines/>
              <w:spacing w:after="0" w:line="240" w:lineRule="auto"/>
            </w:pPr>
            <w:r>
              <w:rPr>
                <w:sz w:val="18"/>
              </w:rPr>
              <w:t>91512</w:t>
            </w:r>
          </w:p>
        </w:tc>
        <w:tc>
          <w:tcPr>
            <w:tcW w:w="3180" w:type="dxa"/>
            <w:tcMar>
              <w:top w:w="0" w:type="dxa"/>
              <w:bottom w:w="0" w:type="dxa"/>
            </w:tcMar>
            <w:vAlign w:val="center"/>
          </w:tcPr>
          <w:p w14:paraId="3AFB1A84" w14:textId="77777777" w:rsidR="00EC0600" w:rsidRDefault="003F683D">
            <w:pPr>
              <w:keepNext/>
              <w:keepLines/>
              <w:spacing w:after="0" w:line="240" w:lineRule="auto"/>
            </w:pPr>
            <w:r>
              <w:rPr>
                <w:sz w:val="18"/>
              </w:rPr>
              <w:t>Promjene u obujmu imovine (šifre P016+P023)</w:t>
            </w:r>
          </w:p>
        </w:tc>
        <w:tc>
          <w:tcPr>
            <w:tcW w:w="700" w:type="dxa"/>
            <w:tcMar>
              <w:top w:w="0" w:type="dxa"/>
              <w:bottom w:w="0" w:type="dxa"/>
            </w:tcMar>
            <w:vAlign w:val="center"/>
          </w:tcPr>
          <w:p w14:paraId="4E351A63" w14:textId="77777777" w:rsidR="00EC0600" w:rsidRDefault="003F683D">
            <w:pPr>
              <w:keepNext/>
              <w:keepLines/>
              <w:spacing w:after="0" w:line="240" w:lineRule="auto"/>
            </w:pPr>
            <w:r>
              <w:rPr>
                <w:sz w:val="18"/>
              </w:rPr>
              <w:t>91512</w:t>
            </w:r>
          </w:p>
        </w:tc>
        <w:tc>
          <w:tcPr>
            <w:tcW w:w="1860" w:type="dxa"/>
            <w:tcMar>
              <w:top w:w="0" w:type="dxa"/>
              <w:bottom w:w="0" w:type="dxa"/>
            </w:tcMar>
            <w:vAlign w:val="center"/>
          </w:tcPr>
          <w:p w14:paraId="66421909" w14:textId="77777777" w:rsidR="00EC0600" w:rsidRDefault="003F683D">
            <w:pPr>
              <w:keepNext/>
              <w:keepLines/>
              <w:spacing w:after="0" w:line="240" w:lineRule="auto"/>
              <w:jc w:val="right"/>
            </w:pPr>
            <w:r>
              <w:rPr>
                <w:sz w:val="18"/>
              </w:rPr>
              <w:t>0,00</w:t>
            </w:r>
          </w:p>
        </w:tc>
        <w:tc>
          <w:tcPr>
            <w:tcW w:w="1860" w:type="dxa"/>
            <w:tcMar>
              <w:top w:w="0" w:type="dxa"/>
              <w:bottom w:w="0" w:type="dxa"/>
            </w:tcMar>
            <w:vAlign w:val="center"/>
          </w:tcPr>
          <w:p w14:paraId="10C75CA4" w14:textId="77777777" w:rsidR="00EC0600" w:rsidRDefault="003F683D">
            <w:pPr>
              <w:keepNext/>
              <w:keepLines/>
              <w:spacing w:after="0" w:line="240" w:lineRule="auto"/>
              <w:jc w:val="right"/>
            </w:pPr>
            <w:r>
              <w:rPr>
                <w:sz w:val="18"/>
              </w:rPr>
              <w:t>133,10</w:t>
            </w:r>
          </w:p>
        </w:tc>
        <w:tc>
          <w:tcPr>
            <w:tcW w:w="700" w:type="dxa"/>
            <w:tcMar>
              <w:top w:w="0" w:type="dxa"/>
              <w:bottom w:w="0" w:type="dxa"/>
            </w:tcMar>
            <w:vAlign w:val="center"/>
          </w:tcPr>
          <w:p w14:paraId="4B39C868" w14:textId="77777777" w:rsidR="00EC0600" w:rsidRDefault="003F683D">
            <w:pPr>
              <w:keepNext/>
              <w:keepLines/>
              <w:spacing w:after="0" w:line="240" w:lineRule="auto"/>
              <w:jc w:val="right"/>
            </w:pPr>
            <w:r>
              <w:rPr>
                <w:sz w:val="18"/>
              </w:rPr>
              <w:t>-</w:t>
            </w:r>
          </w:p>
        </w:tc>
      </w:tr>
    </w:tbl>
    <w:p w14:paraId="21295BB5" w14:textId="77777777" w:rsidR="00EC0600" w:rsidRDefault="00EC0600">
      <w:pPr>
        <w:spacing w:after="0"/>
      </w:pPr>
    </w:p>
    <w:p w14:paraId="4AAFF4AA" w14:textId="77777777" w:rsidR="00EC0600" w:rsidRDefault="003F683D">
      <w:r>
        <w:t>Smanjenje u obujmu imovine iskazane na kontu 91512 odnosi se na rashodovanu dugotrajnu imovinu prema inventurnim listama na dan 31.12.2025.</w:t>
      </w:r>
    </w:p>
    <w:p w14:paraId="5B49FA4B" w14:textId="77777777" w:rsidR="00EC0600" w:rsidRDefault="00EC0600"/>
    <w:p w14:paraId="4013F599" w14:textId="77777777" w:rsidR="00EC0600" w:rsidRDefault="003F683D">
      <w:pPr>
        <w:keepNext/>
        <w:spacing w:line="240" w:lineRule="auto"/>
        <w:jc w:val="center"/>
      </w:pPr>
      <w:r>
        <w:rPr>
          <w:b/>
          <w:sz w:val="28"/>
        </w:rPr>
        <w:t>Izvještaj o obvezama</w:t>
      </w:r>
    </w:p>
    <w:p w14:paraId="58C1CD11" w14:textId="77777777" w:rsidR="00EC0600" w:rsidRDefault="003F683D">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C0600" w14:paraId="2546B827" w14:textId="77777777">
        <w:trPr>
          <w:cantSplit/>
        </w:trPr>
        <w:tc>
          <w:tcPr>
            <w:tcW w:w="700" w:type="dxa"/>
            <w:shd w:val="clear" w:color="auto" w:fill="E7F0F9"/>
            <w:tcMar>
              <w:top w:w="0" w:type="dxa"/>
              <w:bottom w:w="0" w:type="dxa"/>
            </w:tcMar>
            <w:vAlign w:val="center"/>
          </w:tcPr>
          <w:p w14:paraId="1DE4E0E4"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944AE4"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9F249"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A08BE7" w14:textId="77777777" w:rsidR="00EC0600" w:rsidRDefault="003F683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623C4EF" w14:textId="77777777" w:rsidR="00EC0600" w:rsidRDefault="003F683D">
            <w:pPr>
              <w:keepNext/>
              <w:keepLines/>
              <w:spacing w:after="0" w:line="240" w:lineRule="auto"/>
              <w:jc w:val="center"/>
            </w:pPr>
            <w:r>
              <w:rPr>
                <w:b/>
                <w:sz w:val="18"/>
              </w:rPr>
              <w:t>Indeks (%)</w:t>
            </w:r>
          </w:p>
        </w:tc>
      </w:tr>
      <w:tr w:rsidR="00EC0600" w14:paraId="47DDEB3D" w14:textId="77777777">
        <w:trPr>
          <w:cantSplit/>
          <w:trHeight w:val="560"/>
        </w:trPr>
        <w:tc>
          <w:tcPr>
            <w:tcW w:w="700" w:type="dxa"/>
            <w:tcMar>
              <w:top w:w="0" w:type="dxa"/>
              <w:bottom w:w="0" w:type="dxa"/>
            </w:tcMar>
            <w:vAlign w:val="center"/>
          </w:tcPr>
          <w:p w14:paraId="251373E8" w14:textId="77777777" w:rsidR="00EC0600" w:rsidRDefault="00EC0600">
            <w:pPr>
              <w:keepNext/>
              <w:keepLines/>
              <w:spacing w:after="0" w:line="240" w:lineRule="auto"/>
            </w:pPr>
          </w:p>
        </w:tc>
        <w:tc>
          <w:tcPr>
            <w:tcW w:w="3180" w:type="dxa"/>
            <w:tcMar>
              <w:top w:w="0" w:type="dxa"/>
              <w:bottom w:w="0" w:type="dxa"/>
            </w:tcMar>
            <w:vAlign w:val="center"/>
          </w:tcPr>
          <w:p w14:paraId="7652468C" w14:textId="77777777" w:rsidR="00EC0600" w:rsidRDefault="003F683D">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4D695CB3" w14:textId="77777777" w:rsidR="00EC0600" w:rsidRDefault="003F683D">
            <w:pPr>
              <w:keepNext/>
              <w:keepLines/>
              <w:spacing w:after="0" w:line="240" w:lineRule="auto"/>
            </w:pPr>
            <w:r>
              <w:rPr>
                <w:sz w:val="18"/>
              </w:rPr>
              <w:t>V006</w:t>
            </w:r>
          </w:p>
        </w:tc>
        <w:tc>
          <w:tcPr>
            <w:tcW w:w="1860" w:type="dxa"/>
            <w:tcMar>
              <w:top w:w="0" w:type="dxa"/>
              <w:bottom w:w="0" w:type="dxa"/>
            </w:tcMar>
            <w:vAlign w:val="center"/>
          </w:tcPr>
          <w:p w14:paraId="5E1611F9" w14:textId="77777777" w:rsidR="00EC0600" w:rsidRDefault="003F683D">
            <w:pPr>
              <w:keepNext/>
              <w:keepLines/>
              <w:spacing w:after="0" w:line="240" w:lineRule="auto"/>
              <w:jc w:val="right"/>
            </w:pPr>
            <w:r>
              <w:rPr>
                <w:sz w:val="18"/>
              </w:rPr>
              <w:t>260.026,29</w:t>
            </w:r>
          </w:p>
        </w:tc>
        <w:tc>
          <w:tcPr>
            <w:tcW w:w="700" w:type="dxa"/>
            <w:tcMar>
              <w:top w:w="0" w:type="dxa"/>
              <w:bottom w:w="0" w:type="dxa"/>
            </w:tcMar>
            <w:vAlign w:val="center"/>
          </w:tcPr>
          <w:p w14:paraId="0FBC5A39" w14:textId="77777777" w:rsidR="00EC0600" w:rsidRDefault="003F683D">
            <w:pPr>
              <w:keepNext/>
              <w:keepLines/>
              <w:spacing w:after="0" w:line="240" w:lineRule="auto"/>
              <w:jc w:val="right"/>
            </w:pPr>
            <w:r>
              <w:rPr>
                <w:sz w:val="18"/>
              </w:rPr>
              <w:t>-</w:t>
            </w:r>
          </w:p>
        </w:tc>
      </w:tr>
    </w:tbl>
    <w:p w14:paraId="27965549" w14:textId="77777777" w:rsidR="00EC0600" w:rsidRDefault="00EC0600">
      <w:pPr>
        <w:spacing w:after="0"/>
      </w:pPr>
    </w:p>
    <w:p w14:paraId="4D5287FE" w14:textId="77777777" w:rsidR="00EC0600" w:rsidRDefault="003F683D">
      <w:r>
        <w:t>Stanje obveza na dan 1. siječnja 2025. iznose 217.766,71 EUR-a, te je usklađen sa iznosom iskazanim u izvještaju o obvezama za prethodnu godinu.</w:t>
      </w:r>
    </w:p>
    <w:p w14:paraId="7237F722" w14:textId="77777777" w:rsidR="00EC0600" w:rsidRDefault="003F683D">
      <w:pPr>
        <w:jc w:val="both"/>
      </w:pPr>
      <w:r>
        <w:lastRenderedPageBreak/>
        <w:t>Na kraju izvještajnog razdoblja stanje nepodmirenih obveza iznosi 260.026,29 EUR, od čega je 3.006,89 EUR u dospijeću. Nedospjeli iznos od 257.019,40 EUR sastoji se 208.250,13 EUR rashoda za poslovanje unutar kojeg obveze za plaću i materijalna prava radnika za prosinac 2025. godine iznose 162.751,15 EUR. Ostatak se odnosi na obveze za financijski leasing u iznosu od 19.229,84 EUR-a, te 29.539,43 EUR obveza za predujmove, jamčevne pologe i tuđe prihode. Dospjele obveze su podmirene u siječnju 2026. godine.</w:t>
      </w:r>
    </w:p>
    <w:p w14:paraId="6810C7B7" w14:textId="77777777" w:rsidR="00EC0600" w:rsidRDefault="003F683D">
      <w:r>
        <w:t>Stanje međusobnih obveza proračunskih korisnika iznosi 1.550,58 EUR-a i odnosi se na potraživanje od HZZO za bolovanja preko 42 dana koja još nisu refundirana.</w:t>
      </w:r>
    </w:p>
    <w:p w14:paraId="66CA94C4" w14:textId="77777777" w:rsidR="00EC0600" w:rsidRDefault="003F683D">
      <w:r>
        <w:t> </w:t>
      </w:r>
    </w:p>
    <w:p w14:paraId="04BA0284" w14:textId="77777777" w:rsidR="00EC0600" w:rsidRDefault="00EC0600"/>
    <w:p w14:paraId="6EFF3739" w14:textId="77777777" w:rsidR="00EC0600" w:rsidRDefault="003F683D">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C0600" w14:paraId="5F82526E" w14:textId="77777777">
        <w:trPr>
          <w:cantSplit/>
        </w:trPr>
        <w:tc>
          <w:tcPr>
            <w:tcW w:w="700" w:type="dxa"/>
            <w:shd w:val="clear" w:color="auto" w:fill="E7F0F9"/>
            <w:tcMar>
              <w:top w:w="0" w:type="dxa"/>
              <w:bottom w:w="0" w:type="dxa"/>
            </w:tcMar>
            <w:vAlign w:val="center"/>
          </w:tcPr>
          <w:p w14:paraId="4FF68B87"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053A3C4"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3BE7B5B"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8F3424" w14:textId="77777777" w:rsidR="00EC0600" w:rsidRDefault="003F683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9D01A01" w14:textId="77777777" w:rsidR="00EC0600" w:rsidRDefault="003F683D">
            <w:pPr>
              <w:keepNext/>
              <w:keepLines/>
              <w:spacing w:after="0" w:line="240" w:lineRule="auto"/>
              <w:jc w:val="center"/>
            </w:pPr>
            <w:r>
              <w:rPr>
                <w:b/>
                <w:sz w:val="18"/>
              </w:rPr>
              <w:t>Indeks (%)</w:t>
            </w:r>
          </w:p>
        </w:tc>
      </w:tr>
      <w:tr w:rsidR="00EC0600" w14:paraId="67002DD5" w14:textId="77777777">
        <w:trPr>
          <w:cantSplit/>
          <w:trHeight w:val="560"/>
        </w:trPr>
        <w:tc>
          <w:tcPr>
            <w:tcW w:w="700" w:type="dxa"/>
            <w:tcMar>
              <w:top w:w="0" w:type="dxa"/>
              <w:bottom w:w="0" w:type="dxa"/>
            </w:tcMar>
            <w:vAlign w:val="center"/>
          </w:tcPr>
          <w:p w14:paraId="25A13D66" w14:textId="77777777" w:rsidR="00EC0600" w:rsidRDefault="00EC0600">
            <w:pPr>
              <w:keepNext/>
              <w:keepLines/>
              <w:spacing w:after="0" w:line="240" w:lineRule="auto"/>
            </w:pPr>
          </w:p>
        </w:tc>
        <w:tc>
          <w:tcPr>
            <w:tcW w:w="3180" w:type="dxa"/>
            <w:tcMar>
              <w:top w:w="0" w:type="dxa"/>
              <w:bottom w:w="0" w:type="dxa"/>
            </w:tcMar>
            <w:vAlign w:val="center"/>
          </w:tcPr>
          <w:p w14:paraId="35BD3A10" w14:textId="77777777" w:rsidR="00EC0600" w:rsidRDefault="003F683D">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76940A5" w14:textId="77777777" w:rsidR="00EC0600" w:rsidRDefault="003F683D">
            <w:pPr>
              <w:keepNext/>
              <w:keepLines/>
              <w:spacing w:after="0" w:line="240" w:lineRule="auto"/>
            </w:pPr>
            <w:r>
              <w:rPr>
                <w:sz w:val="18"/>
              </w:rPr>
              <w:t>V007</w:t>
            </w:r>
          </w:p>
        </w:tc>
        <w:tc>
          <w:tcPr>
            <w:tcW w:w="1860" w:type="dxa"/>
            <w:tcMar>
              <w:top w:w="0" w:type="dxa"/>
              <w:bottom w:w="0" w:type="dxa"/>
            </w:tcMar>
            <w:vAlign w:val="center"/>
          </w:tcPr>
          <w:p w14:paraId="5BE1C2B2" w14:textId="77777777" w:rsidR="00EC0600" w:rsidRDefault="003F683D">
            <w:pPr>
              <w:keepNext/>
              <w:keepLines/>
              <w:spacing w:after="0" w:line="240" w:lineRule="auto"/>
              <w:jc w:val="right"/>
            </w:pPr>
            <w:r>
              <w:rPr>
                <w:sz w:val="18"/>
              </w:rPr>
              <w:t>3.006,89</w:t>
            </w:r>
          </w:p>
        </w:tc>
        <w:tc>
          <w:tcPr>
            <w:tcW w:w="700" w:type="dxa"/>
            <w:tcMar>
              <w:top w:w="0" w:type="dxa"/>
              <w:bottom w:w="0" w:type="dxa"/>
            </w:tcMar>
            <w:vAlign w:val="center"/>
          </w:tcPr>
          <w:p w14:paraId="7EF70ED0" w14:textId="77777777" w:rsidR="00EC0600" w:rsidRDefault="003F683D">
            <w:pPr>
              <w:keepNext/>
              <w:keepLines/>
              <w:spacing w:after="0" w:line="240" w:lineRule="auto"/>
              <w:jc w:val="right"/>
            </w:pPr>
            <w:r>
              <w:rPr>
                <w:sz w:val="18"/>
              </w:rPr>
              <w:t>-</w:t>
            </w:r>
          </w:p>
        </w:tc>
      </w:tr>
    </w:tbl>
    <w:p w14:paraId="0CEB305B" w14:textId="77777777" w:rsidR="00EC0600" w:rsidRDefault="00EC0600">
      <w:pPr>
        <w:spacing w:after="0"/>
      </w:pPr>
    </w:p>
    <w:p w14:paraId="35AABCB8" w14:textId="77777777" w:rsidR="00EC0600" w:rsidRDefault="003F683D">
      <w:pPr>
        <w:jc w:val="both"/>
      </w:pPr>
      <w:r>
        <w:t>Dospjele obveze iznose 3.006,89 EUR i odnose se na obveze za materijalne rashode po računima zaprimljenim u prosincu 2025.godine.</w:t>
      </w:r>
    </w:p>
    <w:p w14:paraId="7216B861" w14:textId="77777777" w:rsidR="00EC0600" w:rsidRDefault="003F683D">
      <w:pPr>
        <w:jc w:val="both"/>
      </w:pPr>
      <w:r>
        <w:t>Prilikom usklada s dobavljačima u toku prosinca 2025. godine utvrđen je račun dobavljača Croatia osiguranje d.d. u iznosu od 1.202,20 EUR-a, koji omaškom nije bio knjižen niti plaćen. Sporni račun kao i sve ostale dospjele obveze podmirene su u toku siječnja 2026. godine.</w:t>
      </w:r>
    </w:p>
    <w:p w14:paraId="6CAC63C3" w14:textId="77777777" w:rsidR="00EC0600" w:rsidRDefault="00EC0600"/>
    <w:p w14:paraId="2C7C19DD" w14:textId="77777777" w:rsidR="00EC0600" w:rsidRDefault="003F683D">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EC0600" w14:paraId="1ED66A98" w14:textId="77777777">
        <w:trPr>
          <w:cantSplit/>
        </w:trPr>
        <w:tc>
          <w:tcPr>
            <w:tcW w:w="700" w:type="dxa"/>
            <w:shd w:val="clear" w:color="auto" w:fill="E7F0F9"/>
            <w:tcMar>
              <w:top w:w="0" w:type="dxa"/>
              <w:bottom w:w="0" w:type="dxa"/>
            </w:tcMar>
            <w:vAlign w:val="center"/>
          </w:tcPr>
          <w:p w14:paraId="2FF90E06" w14:textId="77777777" w:rsidR="00EC0600" w:rsidRDefault="003F683D">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09BD4C0" w14:textId="77777777" w:rsidR="00EC0600" w:rsidRDefault="003F683D">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3D71AF" w14:textId="77777777" w:rsidR="00EC0600" w:rsidRDefault="003F683D">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13F3FA9" w14:textId="77777777" w:rsidR="00EC0600" w:rsidRDefault="003F683D">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027A09CB" w14:textId="77777777" w:rsidR="00EC0600" w:rsidRDefault="003F683D">
            <w:pPr>
              <w:keepNext/>
              <w:keepLines/>
              <w:spacing w:after="0" w:line="240" w:lineRule="auto"/>
              <w:jc w:val="center"/>
            </w:pPr>
            <w:r>
              <w:rPr>
                <w:b/>
                <w:sz w:val="18"/>
              </w:rPr>
              <w:t>Indeks (%)</w:t>
            </w:r>
          </w:p>
        </w:tc>
      </w:tr>
      <w:tr w:rsidR="00EC0600" w14:paraId="2E943560" w14:textId="77777777">
        <w:trPr>
          <w:cantSplit/>
          <w:trHeight w:val="560"/>
        </w:trPr>
        <w:tc>
          <w:tcPr>
            <w:tcW w:w="700" w:type="dxa"/>
            <w:tcMar>
              <w:top w:w="0" w:type="dxa"/>
              <w:bottom w:w="0" w:type="dxa"/>
            </w:tcMar>
            <w:vAlign w:val="center"/>
          </w:tcPr>
          <w:p w14:paraId="22C40564" w14:textId="77777777" w:rsidR="00EC0600" w:rsidRDefault="00EC0600">
            <w:pPr>
              <w:keepNext/>
              <w:keepLines/>
              <w:spacing w:after="0" w:line="240" w:lineRule="auto"/>
            </w:pPr>
          </w:p>
        </w:tc>
        <w:tc>
          <w:tcPr>
            <w:tcW w:w="3180" w:type="dxa"/>
            <w:tcMar>
              <w:top w:w="0" w:type="dxa"/>
              <w:bottom w:w="0" w:type="dxa"/>
            </w:tcMar>
            <w:vAlign w:val="center"/>
          </w:tcPr>
          <w:p w14:paraId="550F9256" w14:textId="77777777" w:rsidR="00EC0600" w:rsidRDefault="003F683D">
            <w:pPr>
              <w:keepNext/>
              <w:keepLines/>
              <w:spacing w:after="0" w:line="240" w:lineRule="auto"/>
            </w:pPr>
            <w:r>
              <w:rPr>
                <w:sz w:val="18"/>
              </w:rPr>
              <w:t>Međusobne obveze subjekata općeg proračuna</w:t>
            </w:r>
          </w:p>
        </w:tc>
        <w:tc>
          <w:tcPr>
            <w:tcW w:w="700" w:type="dxa"/>
            <w:tcMar>
              <w:top w:w="0" w:type="dxa"/>
              <w:bottom w:w="0" w:type="dxa"/>
            </w:tcMar>
            <w:vAlign w:val="center"/>
          </w:tcPr>
          <w:p w14:paraId="516DD23F" w14:textId="77777777" w:rsidR="00EC0600" w:rsidRDefault="003F683D">
            <w:pPr>
              <w:keepNext/>
              <w:keepLines/>
              <w:spacing w:after="0" w:line="240" w:lineRule="auto"/>
            </w:pPr>
            <w:r>
              <w:rPr>
                <w:sz w:val="18"/>
              </w:rPr>
              <w:t>V010</w:t>
            </w:r>
          </w:p>
        </w:tc>
        <w:tc>
          <w:tcPr>
            <w:tcW w:w="1860" w:type="dxa"/>
            <w:tcMar>
              <w:top w:w="0" w:type="dxa"/>
              <w:bottom w:w="0" w:type="dxa"/>
            </w:tcMar>
            <w:vAlign w:val="center"/>
          </w:tcPr>
          <w:p w14:paraId="7D278F07" w14:textId="77777777" w:rsidR="00EC0600" w:rsidRDefault="003F683D">
            <w:pPr>
              <w:keepNext/>
              <w:keepLines/>
              <w:spacing w:after="0" w:line="240" w:lineRule="auto"/>
              <w:jc w:val="right"/>
            </w:pPr>
            <w:r>
              <w:rPr>
                <w:sz w:val="18"/>
              </w:rPr>
              <w:t>1.550,58</w:t>
            </w:r>
          </w:p>
        </w:tc>
        <w:tc>
          <w:tcPr>
            <w:tcW w:w="700" w:type="dxa"/>
            <w:tcMar>
              <w:top w:w="0" w:type="dxa"/>
              <w:bottom w:w="0" w:type="dxa"/>
            </w:tcMar>
            <w:vAlign w:val="center"/>
          </w:tcPr>
          <w:p w14:paraId="71A6FF11" w14:textId="77777777" w:rsidR="00EC0600" w:rsidRDefault="003F683D">
            <w:pPr>
              <w:keepNext/>
              <w:keepLines/>
              <w:spacing w:after="0" w:line="240" w:lineRule="auto"/>
              <w:jc w:val="right"/>
            </w:pPr>
            <w:r>
              <w:rPr>
                <w:sz w:val="18"/>
              </w:rPr>
              <w:t>-</w:t>
            </w:r>
          </w:p>
        </w:tc>
      </w:tr>
    </w:tbl>
    <w:p w14:paraId="06D063A5" w14:textId="77777777" w:rsidR="00EC0600" w:rsidRDefault="00EC0600">
      <w:pPr>
        <w:spacing w:after="0"/>
      </w:pPr>
    </w:p>
    <w:p w14:paraId="038B5429" w14:textId="77777777" w:rsidR="00EC0600" w:rsidRDefault="003F683D">
      <w:pPr>
        <w:jc w:val="both"/>
      </w:pPr>
      <w:r>
        <w:t>Stanje međusobnih obveza proračunskih korisnika iznosi  1.550,58 EUR i odnosi se na potraživanje od HZZO-a za bolovanja preko 42 dana koja još nisu refundirana.</w:t>
      </w:r>
    </w:p>
    <w:p w14:paraId="13286A9C" w14:textId="77777777" w:rsidR="00EC0600" w:rsidRDefault="00EC0600"/>
    <w:p w14:paraId="108EA19D" w14:textId="77777777" w:rsidR="00EC0600" w:rsidRDefault="003F683D">
      <w:pPr>
        <w:keepNext/>
        <w:spacing w:line="240" w:lineRule="auto"/>
        <w:jc w:val="center"/>
      </w:pPr>
      <w:r>
        <w:rPr>
          <w:sz w:val="28"/>
        </w:rPr>
        <w:t>Bilješka 27.</w:t>
      </w:r>
    </w:p>
    <w:p w14:paraId="4ADACDB0" w14:textId="77777777" w:rsidR="00EC0600" w:rsidRDefault="003F683D">
      <w:pPr>
        <w:spacing w:line="240" w:lineRule="auto"/>
        <w:jc w:val="both"/>
      </w:pPr>
      <w:r>
        <w:rPr>
          <w:b/>
        </w:rPr>
        <w:t>EU izvještaj</w:t>
      </w:r>
    </w:p>
    <w:p w14:paraId="4711C7FB" w14:textId="77777777" w:rsidR="00EC0600" w:rsidRDefault="003F683D">
      <w:pPr>
        <w:jc w:val="both"/>
      </w:pPr>
      <w:r>
        <w:rPr>
          <w:b/>
        </w:rPr>
        <w:t>Izvor financiranja 563- Europski fond za regionalni razvoj</w:t>
      </w:r>
    </w:p>
    <w:p w14:paraId="1031C95E" w14:textId="77777777" w:rsidR="00EC0600" w:rsidRDefault="003F683D">
      <w:pPr>
        <w:jc w:val="both"/>
      </w:pPr>
      <w:r>
        <w:t xml:space="preserve">Na izvoru financiranja 563-Europski fond za regionalni razvoj Veleučilište ima sklopljen Ugovor za projekt MareSkill - Smart and innovative blue skills for competitive blue economy iz operatinvnog programa INTERREG Italija - Hrvatska 2021. - 2027.Veleučilište u Šibeniku je vodeći partner na projektu čija ukupna vrijednost iznosi 1.382.552,84 EUR, dok je proračun VUŠ-a na projektu 247.529,30 EUR. Cilj projekta je doprinijeti većem usklađivanju potreba sektora i stručnih profila kroz osposobljavanje i studijske programe u plavom gospodarstvu, </w:t>
      </w:r>
      <w:r>
        <w:lastRenderedPageBreak/>
        <w:t>kroz evaluaciju osposobljavanja i metoda obrazovanja kako bi se učinkovito povećale mogućnosti zapošljavanja i karijere u prekograničnom razini. Ovi programi obrazovanja i osposobljavanja pružit će vještine i znanja potrebna za uspješan rad u sektorima plave ekonomije i pomoći će podržati rast sektora pružanjem kvalificirane radne snage. Razdoblje provedbe projekta je od 1. travnja 2024.  do 30. rujna 2026.godine, a ostali partneri na projektu su Sveučilište u Zadru, Sveučilište u Rijeci, Hrvatska gospodarska komora, Fenice Foundation NGO (ITA), Regional Agency for Technology and Innovation - ARTI (ITA), National Institute of Oceanography and Applied Geophysics - OGS (ITA), University of Trieste (ITA).</w:t>
      </w:r>
    </w:p>
    <w:p w14:paraId="6106E52D" w14:textId="77777777" w:rsidR="00EC0600" w:rsidRDefault="003F683D">
      <w:pPr>
        <w:jc w:val="both"/>
      </w:pPr>
      <w:r>
        <w:t>U toku 2025. godine Veleučilište je primilo 454.804,83 EUR-a za prva dva izvještajna razdoblja. Od navedenog iznosa projektnim partnerima je proslijeđeno 367.208,11 EUR-a. Od ostalih rashoda najveći dio otpada na intelektualne usluge (41.582,71 EUR-a) koje su potrebne da bi se ostavarili ciljevi projekta, te naknade plaće zaposlenicima koji rade na projektu (21.077,37 EUR-a).</w:t>
      </w:r>
    </w:p>
    <w:p w14:paraId="6092DADE" w14:textId="77777777" w:rsidR="00EC0600" w:rsidRDefault="003F683D">
      <w:pPr>
        <w:jc w:val="both"/>
      </w:pPr>
      <w:r>
        <w:rPr>
          <w:b/>
        </w:rPr>
        <w:t>510-Programi Unije</w:t>
      </w:r>
    </w:p>
    <w:p w14:paraId="7CE36996" w14:textId="77777777" w:rsidR="00EC0600" w:rsidRDefault="003F683D">
      <w:pPr>
        <w:jc w:val="both"/>
      </w:pPr>
      <w:r>
        <w:t>Veleučilište u Šibeniku je jedan od partnera na projektu pod nazivom "SIT - SUSTAINABILITY IN TCLF (Textiles, Clothing, Leather, Footwear)" u sklopu Erasmus+ Innovation Alliance programa. Projekt okuplja 15 partnera iz 8 zemalja (Njemačka, Italija, Španjolska, Grčka, Bugarska, Hrvatska, Estonija i Slovačka), stvarajući snažan međunarodni konzorcij.  Glavni rezultati projekta uključivat će analizu novonastalih zanimanja i nedostatka vještina, razvoj specifičnih modula obuke, testiranje  kurikuluma te promociju i razvoj podržavajućeg ekosustava.  Ovim projektom Veleučilište u Šibeniku pridonosi razvoju novih pristupa u obrazovanju koji će zadovoljiti potrebe tržišta rada u sektorima tekstila, odjeće, kože i obuće, promičući pritom održivost i cirkularnu ekonomiju. Projekt je započeo 1. veljače 2024. i trajat će do 31. siječnja 2027. Ukupna vrijednost projekta iznosi 1.382.552,84 EUR, dok je proračun VUŠ-a na projektu 52.289,00 EUR. Do sada smo primili dvije uplate po 20.915,60 EUR-a, jednu u ožujku 2024.godine, a drugu u siječnju 2026. godine.</w:t>
      </w:r>
    </w:p>
    <w:p w14:paraId="3B5691C2" w14:textId="77777777" w:rsidR="00EC0600" w:rsidRDefault="003F683D">
      <w:pPr>
        <w:jc w:val="both"/>
      </w:pPr>
      <w:r>
        <w:t>Veleučilište u Šibeniku sudjeluje kao partner u Erasmus+ projektu AVICO Coding Training with Aviation Technologies (2023-1-SK01-KA220-VET-000160656). Cilj ovog projekta je obogatiti strukovno obrazovanje kroz integraciju vrhunske tehnologije i inovativnih metodologija podučavanja. Projekt okuplja 9 partnera iz 6 različitih zemalja, a trajat će od 1. studenog 2023. do 30. travnja 2026. godine. Ukupna vrijednost projekta iznosi 400.000,00 EUR-a, dok je ukupni budžet VUŠ-a 50.168,00 EUR-a, od kojih je do sada isplaćeno 80%, odnosno u 2025.godini 20.067,20 EUR-a (konto 6321).</w:t>
      </w:r>
    </w:p>
    <w:p w14:paraId="03229978" w14:textId="77777777" w:rsidR="00EC0600" w:rsidRDefault="003F683D">
      <w:pPr>
        <w:jc w:val="both"/>
      </w:pPr>
      <w:r>
        <w:t>Ostali projekti iz izvora 510-Programi Unije financirani su preko AMPEU-a.</w:t>
      </w:r>
    </w:p>
    <w:p w14:paraId="616649D6" w14:textId="77777777" w:rsidR="00EC0600" w:rsidRDefault="003F683D">
      <w:pPr>
        <w:jc w:val="both"/>
      </w:pPr>
      <w:r>
        <w:t>Veleučilište u Šibeniku je koordinator projektnog konzorcija novog vrijednog ERASMUS+ KA2 VET projekta - Partnerstva za suradnju u strukovnom obrazovanju i usavršavanju (Projekt 2024-1-HR01-KA220-VET-000243564 Smart4Food). Osim Veleučilišta u Šibeniku na projektu sudjeluju i New Edu,n.o iz Slovačke,  Kocatürk iz Turske, Magnetar Ltd iz Cipra, Momentum Educate + Innovate limited iz Irske te MERIDAUNIA iz Italije. Trajanje projekta: 01.11.2024. - 31.10.2026. Ukupan proračun projekta je 250.000,00 EUR-a, od čega na VUŠ otpada 40.615,00 EUR-a. Do sada je AMPEU doznačio 80 % sredstava.</w:t>
      </w:r>
    </w:p>
    <w:p w14:paraId="2C2B8E42" w14:textId="77777777" w:rsidR="00EC0600" w:rsidRDefault="003F683D">
      <w:pPr>
        <w:jc w:val="both"/>
      </w:pPr>
      <w:r>
        <w:t xml:space="preserve">Veleučilište je s 1.10.2024. krenulo u još jedan Erasmus+ KA2 HED projekt (2024-1-HR01-KA220-HED-000245495 EcoMinds)za kojega je ujedno i nositelj projekta. Kao partnerske </w:t>
      </w:r>
      <w:r>
        <w:lastRenderedPageBreak/>
        <w:t>ustanove sudjeluju i Luiss Guido Carli University (IT), University of Zadar (HR), Igor Sikorsky Kyiv Polytechnic Institute (UA), Ss. Cyril and Methodius University in Skopje / Универзитет „Св. Кирил и Методиј“ во Скопје (MK), i Vegova Ljubljana (SI) te Oracle Academy kao pridruženi partner. Cilj projekta je doprinijeti digitalnoj i zelenoj transformaciji visokog obrazovanja kroz međusektorsku transnacionalnu suradnju i modernizaciju IT kurikuluma. Cilj projekta je doprinijeti digitalnoj i zelenoj transformaciji visokog obrazovanja kroz međusektorsku transnacionalnu suradnju i modernizaciju IT kurikuluma. Proračun projekta je također 250.000,00 EUR-a, od čega na VUŠ otpada 53.253,00 EUR-a. u 2025.godini doznačeno je 100.000,00 EUR-a</w:t>
      </w:r>
    </w:p>
    <w:p w14:paraId="1DFD3998" w14:textId="1231DAAB" w:rsidR="00EC0600" w:rsidRDefault="003F683D">
      <w:pPr>
        <w:jc w:val="both"/>
      </w:pPr>
      <w:r>
        <w:t>U nastavku dajemo pregled isplata i plana Erasmus + projekata financiranih pr</w:t>
      </w:r>
      <w:r w:rsidR="00A359D0">
        <w:t>e</w:t>
      </w:r>
      <w:r>
        <w:t xml:space="preserve">ko </w:t>
      </w:r>
      <w:proofErr w:type="spellStart"/>
      <w:r>
        <w:t>AMPEU</w:t>
      </w:r>
      <w:proofErr w:type="spellEnd"/>
      <w:r>
        <w:t>-a:</w:t>
      </w:r>
    </w:p>
    <w:tbl>
      <w:tblPr>
        <w:tblStyle w:val="TableGrid"/>
        <w:tblW w:w="5000" w:type="pct"/>
        <w:tblLook w:val="04A0" w:firstRow="1" w:lastRow="0" w:firstColumn="1" w:lastColumn="0" w:noHBand="0" w:noVBand="1"/>
      </w:tblPr>
      <w:tblGrid>
        <w:gridCol w:w="1813"/>
        <w:gridCol w:w="1813"/>
        <w:gridCol w:w="1812"/>
        <w:gridCol w:w="1812"/>
        <w:gridCol w:w="1812"/>
      </w:tblGrid>
      <w:tr w:rsidR="00EC0600" w14:paraId="3EE05199" w14:textId="77777777">
        <w:trPr>
          <w:trHeight w:val="542"/>
        </w:trPr>
        <w:tc>
          <w:tcPr>
            <w:tcW w:w="1000" w:type="pct"/>
            <w:vAlign w:val="center"/>
          </w:tcPr>
          <w:p w14:paraId="169737DD" w14:textId="77777777" w:rsidR="00EC0600" w:rsidRDefault="003F683D">
            <w:r>
              <w:t>Oznaka projekta</w:t>
            </w:r>
          </w:p>
        </w:tc>
        <w:tc>
          <w:tcPr>
            <w:tcW w:w="1000" w:type="pct"/>
            <w:vAlign w:val="center"/>
          </w:tcPr>
          <w:p w14:paraId="4246E33D" w14:textId="77777777" w:rsidR="00EC0600" w:rsidRDefault="003F683D">
            <w:r>
              <w:t>Isplaćeno u 2025.</w:t>
            </w:r>
          </w:p>
        </w:tc>
        <w:tc>
          <w:tcPr>
            <w:tcW w:w="1000" w:type="pct"/>
            <w:vAlign w:val="center"/>
          </w:tcPr>
          <w:p w14:paraId="34887FB7" w14:textId="77777777" w:rsidR="00EC0600" w:rsidRDefault="003F683D">
            <w:r>
              <w:t>Plan za 2026.</w:t>
            </w:r>
          </w:p>
        </w:tc>
        <w:tc>
          <w:tcPr>
            <w:tcW w:w="1000" w:type="pct"/>
            <w:vAlign w:val="center"/>
          </w:tcPr>
          <w:p w14:paraId="7398602D" w14:textId="77777777" w:rsidR="00EC0600" w:rsidRDefault="003F683D">
            <w:r>
              <w:t>Plan za 2027.</w:t>
            </w:r>
          </w:p>
        </w:tc>
        <w:tc>
          <w:tcPr>
            <w:tcW w:w="1000" w:type="pct"/>
            <w:vAlign w:val="center"/>
          </w:tcPr>
          <w:p w14:paraId="37AE903D" w14:textId="77777777" w:rsidR="00EC0600" w:rsidRDefault="003F683D">
            <w:r>
              <w:t>Plan za 2028.</w:t>
            </w:r>
          </w:p>
        </w:tc>
      </w:tr>
      <w:tr w:rsidR="00EC0600" w14:paraId="28FEADA9" w14:textId="77777777">
        <w:trPr>
          <w:trHeight w:val="878"/>
        </w:trPr>
        <w:tc>
          <w:tcPr>
            <w:tcW w:w="1000" w:type="pct"/>
            <w:vAlign w:val="center"/>
          </w:tcPr>
          <w:p w14:paraId="3EA72177" w14:textId="77777777" w:rsidR="00EC0600" w:rsidRDefault="003F683D">
            <w:r>
              <w:t>2023-1-HR01-KA171-HED-000129847</w:t>
            </w:r>
          </w:p>
        </w:tc>
        <w:tc>
          <w:tcPr>
            <w:tcW w:w="1000" w:type="pct"/>
            <w:vAlign w:val="center"/>
          </w:tcPr>
          <w:p w14:paraId="2CBBA5A1" w14:textId="77777777" w:rsidR="00EC0600" w:rsidRDefault="003F683D">
            <w:pPr>
              <w:keepNext/>
              <w:jc w:val="center"/>
            </w:pPr>
            <w:r>
              <w:t> </w:t>
            </w:r>
          </w:p>
        </w:tc>
        <w:tc>
          <w:tcPr>
            <w:tcW w:w="1000" w:type="pct"/>
            <w:vAlign w:val="center"/>
          </w:tcPr>
          <w:p w14:paraId="35CDCB55" w14:textId="77777777" w:rsidR="00EC0600" w:rsidRDefault="003F683D">
            <w:pPr>
              <w:keepNext/>
              <w:jc w:val="center"/>
            </w:pPr>
            <w:r>
              <w:t>3.608,00</w:t>
            </w:r>
          </w:p>
        </w:tc>
        <w:tc>
          <w:tcPr>
            <w:tcW w:w="1000" w:type="pct"/>
            <w:vAlign w:val="center"/>
          </w:tcPr>
          <w:p w14:paraId="32FE5E69" w14:textId="77777777" w:rsidR="00EC0600" w:rsidRDefault="003F683D">
            <w:pPr>
              <w:keepNext/>
              <w:jc w:val="center"/>
            </w:pPr>
            <w:r>
              <w:t> </w:t>
            </w:r>
          </w:p>
        </w:tc>
        <w:tc>
          <w:tcPr>
            <w:tcW w:w="1000" w:type="pct"/>
            <w:vAlign w:val="center"/>
          </w:tcPr>
          <w:p w14:paraId="6378B683" w14:textId="77777777" w:rsidR="00EC0600" w:rsidRDefault="003F683D">
            <w:pPr>
              <w:keepNext/>
              <w:jc w:val="center"/>
            </w:pPr>
            <w:r>
              <w:t> </w:t>
            </w:r>
          </w:p>
        </w:tc>
      </w:tr>
      <w:tr w:rsidR="00EC0600" w14:paraId="37620DB1" w14:textId="77777777">
        <w:trPr>
          <w:trHeight w:val="878"/>
        </w:trPr>
        <w:tc>
          <w:tcPr>
            <w:tcW w:w="1000" w:type="pct"/>
            <w:vAlign w:val="center"/>
          </w:tcPr>
          <w:p w14:paraId="4D58FFB7" w14:textId="77777777" w:rsidR="00EC0600" w:rsidRDefault="003F683D">
            <w:r>
              <w:t>2024-1-HR01-KA131-HED-000202734</w:t>
            </w:r>
          </w:p>
        </w:tc>
        <w:tc>
          <w:tcPr>
            <w:tcW w:w="1000" w:type="pct"/>
            <w:vAlign w:val="center"/>
          </w:tcPr>
          <w:p w14:paraId="6A56E8B8" w14:textId="77777777" w:rsidR="00EC0600" w:rsidRDefault="003F683D">
            <w:pPr>
              <w:keepNext/>
              <w:jc w:val="center"/>
            </w:pPr>
            <w:r>
              <w:t>24.235,40</w:t>
            </w:r>
          </w:p>
        </w:tc>
        <w:tc>
          <w:tcPr>
            <w:tcW w:w="1000" w:type="pct"/>
            <w:vAlign w:val="center"/>
          </w:tcPr>
          <w:p w14:paraId="232AC17F" w14:textId="77777777" w:rsidR="00EC0600" w:rsidRDefault="003F683D">
            <w:pPr>
              <w:keepNext/>
              <w:jc w:val="center"/>
            </w:pPr>
            <w:r>
              <w:t> </w:t>
            </w:r>
          </w:p>
        </w:tc>
        <w:tc>
          <w:tcPr>
            <w:tcW w:w="1000" w:type="pct"/>
            <w:vAlign w:val="center"/>
          </w:tcPr>
          <w:p w14:paraId="3A4DF922" w14:textId="77777777" w:rsidR="00EC0600" w:rsidRDefault="003F683D">
            <w:pPr>
              <w:keepNext/>
              <w:jc w:val="center"/>
            </w:pPr>
            <w:r>
              <w:t> </w:t>
            </w:r>
          </w:p>
        </w:tc>
        <w:tc>
          <w:tcPr>
            <w:tcW w:w="1000" w:type="pct"/>
            <w:vAlign w:val="center"/>
          </w:tcPr>
          <w:p w14:paraId="5C5B5894" w14:textId="77777777" w:rsidR="00EC0600" w:rsidRDefault="003F683D">
            <w:pPr>
              <w:keepNext/>
              <w:jc w:val="center"/>
            </w:pPr>
            <w:r>
              <w:t> </w:t>
            </w:r>
          </w:p>
        </w:tc>
      </w:tr>
      <w:tr w:rsidR="00EC0600" w14:paraId="66D70B91" w14:textId="77777777">
        <w:trPr>
          <w:trHeight w:val="878"/>
        </w:trPr>
        <w:tc>
          <w:tcPr>
            <w:tcW w:w="1000" w:type="pct"/>
            <w:vAlign w:val="center"/>
          </w:tcPr>
          <w:p w14:paraId="47B416AB" w14:textId="77777777" w:rsidR="00EC0600" w:rsidRDefault="003F683D">
            <w:r>
              <w:t>2024-1-HR01-KA171-HED-000203038</w:t>
            </w:r>
          </w:p>
        </w:tc>
        <w:tc>
          <w:tcPr>
            <w:tcW w:w="1000" w:type="pct"/>
            <w:vAlign w:val="center"/>
          </w:tcPr>
          <w:p w14:paraId="62D67004" w14:textId="77777777" w:rsidR="00EC0600" w:rsidRDefault="003F683D">
            <w:pPr>
              <w:keepNext/>
              <w:jc w:val="center"/>
            </w:pPr>
            <w:r>
              <w:t> </w:t>
            </w:r>
          </w:p>
        </w:tc>
        <w:tc>
          <w:tcPr>
            <w:tcW w:w="1000" w:type="pct"/>
            <w:vAlign w:val="center"/>
          </w:tcPr>
          <w:p w14:paraId="579437BF" w14:textId="77777777" w:rsidR="00EC0600" w:rsidRDefault="003F683D">
            <w:pPr>
              <w:keepNext/>
              <w:jc w:val="center"/>
            </w:pPr>
            <w:r>
              <w:t> </w:t>
            </w:r>
          </w:p>
        </w:tc>
        <w:tc>
          <w:tcPr>
            <w:tcW w:w="1000" w:type="pct"/>
            <w:vAlign w:val="center"/>
          </w:tcPr>
          <w:p w14:paraId="6C2B829C" w14:textId="77777777" w:rsidR="00EC0600" w:rsidRDefault="003F683D">
            <w:pPr>
              <w:keepNext/>
              <w:jc w:val="center"/>
            </w:pPr>
            <w:r>
              <w:t>6.456,00</w:t>
            </w:r>
          </w:p>
        </w:tc>
        <w:tc>
          <w:tcPr>
            <w:tcW w:w="1000" w:type="pct"/>
            <w:vAlign w:val="center"/>
          </w:tcPr>
          <w:p w14:paraId="5C3E8DE9" w14:textId="77777777" w:rsidR="00EC0600" w:rsidRDefault="003F683D">
            <w:pPr>
              <w:keepNext/>
              <w:jc w:val="center"/>
            </w:pPr>
            <w:r>
              <w:t> </w:t>
            </w:r>
          </w:p>
        </w:tc>
      </w:tr>
      <w:tr w:rsidR="00EC0600" w14:paraId="49728644" w14:textId="77777777">
        <w:trPr>
          <w:trHeight w:val="878"/>
        </w:trPr>
        <w:tc>
          <w:tcPr>
            <w:tcW w:w="1000" w:type="pct"/>
            <w:vAlign w:val="center"/>
          </w:tcPr>
          <w:p w14:paraId="62E3B767" w14:textId="77777777" w:rsidR="00EC0600" w:rsidRDefault="003F683D">
            <w:r>
              <w:t>2024-1-HR01-KA220-HED-000245495</w:t>
            </w:r>
          </w:p>
        </w:tc>
        <w:tc>
          <w:tcPr>
            <w:tcW w:w="1000" w:type="pct"/>
            <w:vAlign w:val="center"/>
          </w:tcPr>
          <w:p w14:paraId="54FFE2AD" w14:textId="77777777" w:rsidR="00EC0600" w:rsidRDefault="003F683D">
            <w:pPr>
              <w:keepNext/>
              <w:jc w:val="center"/>
            </w:pPr>
            <w:r>
              <w:t>100.000,00</w:t>
            </w:r>
          </w:p>
        </w:tc>
        <w:tc>
          <w:tcPr>
            <w:tcW w:w="1000" w:type="pct"/>
            <w:vAlign w:val="center"/>
          </w:tcPr>
          <w:p w14:paraId="77A7F524" w14:textId="77777777" w:rsidR="00EC0600" w:rsidRDefault="003F683D">
            <w:pPr>
              <w:keepNext/>
              <w:jc w:val="center"/>
            </w:pPr>
            <w:r>
              <w:t> </w:t>
            </w:r>
          </w:p>
        </w:tc>
        <w:tc>
          <w:tcPr>
            <w:tcW w:w="1000" w:type="pct"/>
            <w:vAlign w:val="center"/>
          </w:tcPr>
          <w:p w14:paraId="01744E4F" w14:textId="77777777" w:rsidR="00EC0600" w:rsidRDefault="003F683D">
            <w:pPr>
              <w:keepNext/>
              <w:jc w:val="center"/>
            </w:pPr>
            <w:r>
              <w:t>50.000,00</w:t>
            </w:r>
          </w:p>
        </w:tc>
        <w:tc>
          <w:tcPr>
            <w:tcW w:w="1000" w:type="pct"/>
            <w:vAlign w:val="center"/>
          </w:tcPr>
          <w:p w14:paraId="65ECD349" w14:textId="77777777" w:rsidR="00EC0600" w:rsidRDefault="003F683D">
            <w:pPr>
              <w:keepNext/>
              <w:jc w:val="center"/>
            </w:pPr>
            <w:r>
              <w:t> </w:t>
            </w:r>
          </w:p>
        </w:tc>
      </w:tr>
      <w:tr w:rsidR="00EC0600" w14:paraId="71A521E0" w14:textId="77777777">
        <w:trPr>
          <w:trHeight w:val="878"/>
        </w:trPr>
        <w:tc>
          <w:tcPr>
            <w:tcW w:w="1000" w:type="pct"/>
            <w:vAlign w:val="center"/>
          </w:tcPr>
          <w:p w14:paraId="4995AF7A" w14:textId="77777777" w:rsidR="00EC0600" w:rsidRDefault="003F683D">
            <w:r>
              <w:t>2024-1-HR01-KA220-HED-000243564</w:t>
            </w:r>
          </w:p>
        </w:tc>
        <w:tc>
          <w:tcPr>
            <w:tcW w:w="1000" w:type="pct"/>
            <w:vAlign w:val="center"/>
          </w:tcPr>
          <w:p w14:paraId="0E79ADD2" w14:textId="77777777" w:rsidR="00EC0600" w:rsidRDefault="003F683D">
            <w:pPr>
              <w:keepNext/>
              <w:jc w:val="center"/>
            </w:pPr>
            <w:r>
              <w:t> </w:t>
            </w:r>
          </w:p>
        </w:tc>
        <w:tc>
          <w:tcPr>
            <w:tcW w:w="1000" w:type="pct"/>
            <w:vAlign w:val="center"/>
          </w:tcPr>
          <w:p w14:paraId="6D0E043D" w14:textId="77777777" w:rsidR="00EC0600" w:rsidRDefault="003F683D">
            <w:pPr>
              <w:keepNext/>
              <w:jc w:val="center"/>
            </w:pPr>
            <w:r>
              <w:t> </w:t>
            </w:r>
          </w:p>
        </w:tc>
        <w:tc>
          <w:tcPr>
            <w:tcW w:w="1000" w:type="pct"/>
            <w:vAlign w:val="center"/>
          </w:tcPr>
          <w:p w14:paraId="4DC585C8" w14:textId="77777777" w:rsidR="00EC0600" w:rsidRDefault="003F683D">
            <w:pPr>
              <w:keepNext/>
              <w:jc w:val="center"/>
            </w:pPr>
            <w:r>
              <w:t>50.000,00</w:t>
            </w:r>
          </w:p>
        </w:tc>
        <w:tc>
          <w:tcPr>
            <w:tcW w:w="1000" w:type="pct"/>
            <w:vAlign w:val="center"/>
          </w:tcPr>
          <w:p w14:paraId="2DAA199B" w14:textId="77777777" w:rsidR="00EC0600" w:rsidRDefault="003F683D">
            <w:pPr>
              <w:keepNext/>
              <w:jc w:val="center"/>
            </w:pPr>
            <w:r>
              <w:t> </w:t>
            </w:r>
          </w:p>
        </w:tc>
      </w:tr>
      <w:tr w:rsidR="00EC0600" w14:paraId="02E4F559" w14:textId="77777777">
        <w:trPr>
          <w:trHeight w:val="878"/>
        </w:trPr>
        <w:tc>
          <w:tcPr>
            <w:tcW w:w="1000" w:type="pct"/>
            <w:vAlign w:val="center"/>
          </w:tcPr>
          <w:p w14:paraId="67119505" w14:textId="77777777" w:rsidR="00EC0600" w:rsidRDefault="003F683D">
            <w:r>
              <w:t>2025-1-HR01-KA131-HED-000309684</w:t>
            </w:r>
          </w:p>
        </w:tc>
        <w:tc>
          <w:tcPr>
            <w:tcW w:w="1000" w:type="pct"/>
            <w:vAlign w:val="center"/>
          </w:tcPr>
          <w:p w14:paraId="288ECA64" w14:textId="77777777" w:rsidR="00EC0600" w:rsidRDefault="003F683D">
            <w:pPr>
              <w:keepNext/>
              <w:jc w:val="center"/>
            </w:pPr>
            <w:r>
              <w:t>90.604,00</w:t>
            </w:r>
          </w:p>
        </w:tc>
        <w:tc>
          <w:tcPr>
            <w:tcW w:w="1000" w:type="pct"/>
            <w:vAlign w:val="center"/>
          </w:tcPr>
          <w:p w14:paraId="08F7358C" w14:textId="77777777" w:rsidR="00EC0600" w:rsidRDefault="003F683D">
            <w:pPr>
              <w:keepNext/>
              <w:jc w:val="center"/>
            </w:pPr>
            <w:r>
              <w:t> </w:t>
            </w:r>
          </w:p>
        </w:tc>
        <w:tc>
          <w:tcPr>
            <w:tcW w:w="1000" w:type="pct"/>
            <w:vAlign w:val="center"/>
          </w:tcPr>
          <w:p w14:paraId="0ECDFFD3" w14:textId="77777777" w:rsidR="00EC0600" w:rsidRDefault="003F683D">
            <w:pPr>
              <w:keepNext/>
              <w:jc w:val="center"/>
            </w:pPr>
            <w:r>
              <w:t>22.651,00</w:t>
            </w:r>
          </w:p>
        </w:tc>
        <w:tc>
          <w:tcPr>
            <w:tcW w:w="1000" w:type="pct"/>
            <w:vAlign w:val="center"/>
          </w:tcPr>
          <w:p w14:paraId="0FDBEB77" w14:textId="77777777" w:rsidR="00EC0600" w:rsidRDefault="003F683D">
            <w:pPr>
              <w:keepNext/>
              <w:jc w:val="center"/>
            </w:pPr>
            <w:r>
              <w:t> </w:t>
            </w:r>
          </w:p>
        </w:tc>
      </w:tr>
      <w:tr w:rsidR="00EC0600" w14:paraId="02BE8349" w14:textId="77777777">
        <w:trPr>
          <w:trHeight w:val="542"/>
        </w:trPr>
        <w:tc>
          <w:tcPr>
            <w:tcW w:w="1000" w:type="pct"/>
            <w:vAlign w:val="center"/>
          </w:tcPr>
          <w:p w14:paraId="24A504E4" w14:textId="77777777" w:rsidR="00EC0600" w:rsidRDefault="003F683D">
            <w:r>
              <w:t>2025-1-HR01-KA171-HED-000321777</w:t>
            </w:r>
          </w:p>
        </w:tc>
        <w:tc>
          <w:tcPr>
            <w:tcW w:w="1000" w:type="pct"/>
            <w:vAlign w:val="center"/>
          </w:tcPr>
          <w:p w14:paraId="69B96317" w14:textId="77777777" w:rsidR="00EC0600" w:rsidRDefault="003F683D">
            <w:pPr>
              <w:keepNext/>
              <w:jc w:val="center"/>
            </w:pPr>
            <w:r>
              <w:t>9.490,40</w:t>
            </w:r>
          </w:p>
        </w:tc>
        <w:tc>
          <w:tcPr>
            <w:tcW w:w="1000" w:type="pct"/>
            <w:vAlign w:val="center"/>
          </w:tcPr>
          <w:p w14:paraId="081B460C" w14:textId="77777777" w:rsidR="00EC0600" w:rsidRDefault="003F683D">
            <w:pPr>
              <w:keepNext/>
              <w:jc w:val="center"/>
            </w:pPr>
            <w:r>
              <w:t> </w:t>
            </w:r>
          </w:p>
        </w:tc>
        <w:tc>
          <w:tcPr>
            <w:tcW w:w="1000" w:type="pct"/>
            <w:vAlign w:val="center"/>
          </w:tcPr>
          <w:p w14:paraId="195AE1ED" w14:textId="77777777" w:rsidR="00EC0600" w:rsidRDefault="003F683D">
            <w:pPr>
              <w:keepNext/>
              <w:jc w:val="center"/>
            </w:pPr>
            <w:r>
              <w:t> </w:t>
            </w:r>
          </w:p>
        </w:tc>
        <w:tc>
          <w:tcPr>
            <w:tcW w:w="1000" w:type="pct"/>
            <w:vAlign w:val="center"/>
          </w:tcPr>
          <w:p w14:paraId="4E99F0FA" w14:textId="77777777" w:rsidR="00EC0600" w:rsidRDefault="003F683D">
            <w:pPr>
              <w:keepNext/>
              <w:jc w:val="center"/>
            </w:pPr>
            <w:r>
              <w:t>2.372,60</w:t>
            </w:r>
          </w:p>
        </w:tc>
      </w:tr>
      <w:tr w:rsidR="00EC0600" w14:paraId="06D7988F" w14:textId="77777777">
        <w:tc>
          <w:tcPr>
            <w:tcW w:w="1000" w:type="pct"/>
            <w:vAlign w:val="center"/>
          </w:tcPr>
          <w:p w14:paraId="61BF408A" w14:textId="77777777" w:rsidR="00EC0600" w:rsidRDefault="003F683D">
            <w:r>
              <w:t>Ukupno:</w:t>
            </w:r>
          </w:p>
        </w:tc>
        <w:tc>
          <w:tcPr>
            <w:tcW w:w="1000" w:type="pct"/>
            <w:vAlign w:val="center"/>
          </w:tcPr>
          <w:p w14:paraId="011BD0BF" w14:textId="77777777" w:rsidR="00EC0600" w:rsidRDefault="003F683D">
            <w:pPr>
              <w:keepNext/>
              <w:jc w:val="center"/>
            </w:pPr>
            <w:r>
              <w:t>224.329,80</w:t>
            </w:r>
          </w:p>
        </w:tc>
        <w:tc>
          <w:tcPr>
            <w:tcW w:w="1000" w:type="pct"/>
            <w:vAlign w:val="center"/>
          </w:tcPr>
          <w:p w14:paraId="2323D501" w14:textId="77777777" w:rsidR="00EC0600" w:rsidRDefault="003F683D">
            <w:pPr>
              <w:keepNext/>
              <w:jc w:val="center"/>
            </w:pPr>
            <w:r>
              <w:t>3.608,00</w:t>
            </w:r>
          </w:p>
        </w:tc>
        <w:tc>
          <w:tcPr>
            <w:tcW w:w="1000" w:type="pct"/>
            <w:vAlign w:val="center"/>
          </w:tcPr>
          <w:p w14:paraId="30AF41E2" w14:textId="77777777" w:rsidR="00EC0600" w:rsidRDefault="003F683D">
            <w:pPr>
              <w:keepNext/>
              <w:jc w:val="center"/>
            </w:pPr>
            <w:r>
              <w:t>129.107,00</w:t>
            </w:r>
          </w:p>
        </w:tc>
        <w:tc>
          <w:tcPr>
            <w:tcW w:w="1000" w:type="pct"/>
            <w:vAlign w:val="center"/>
          </w:tcPr>
          <w:p w14:paraId="4E7F5B1F" w14:textId="77777777" w:rsidR="00EC0600" w:rsidRDefault="003F683D">
            <w:pPr>
              <w:keepNext/>
              <w:jc w:val="center"/>
            </w:pPr>
            <w:r>
              <w:t>2.372,60</w:t>
            </w:r>
          </w:p>
        </w:tc>
      </w:tr>
    </w:tbl>
    <w:p w14:paraId="18044B1E" w14:textId="77777777" w:rsidR="00EC0600" w:rsidRDefault="003F683D">
      <w:pPr>
        <w:jc w:val="both"/>
      </w:pPr>
      <w:r>
        <w:t>Što se tiče rashoda po izvoru 510, oni se najviše odnose na prijenose partnerima po projektima u iznosu od 78.698,80 EUR-a, 41.781,00 EURA-a naknada mobilnosti za zaposlenike , 71.656,00 EUR-a naknada dolaznim Erasmus + studentima iz Ukrajine. Rashodi za zaposlene koji su angažirani na projektima u 2025. godini iznose 30.219,98 EUR-a.</w:t>
      </w:r>
    </w:p>
    <w:p w14:paraId="77C274F8" w14:textId="77777777" w:rsidR="00EC0600" w:rsidRDefault="003F683D">
      <w:pPr>
        <w:jc w:val="both"/>
      </w:pPr>
      <w:r>
        <w:t>U 2025. godini uspješno smo završili dva projekta (Roscommon i Evergreen) te smo zaprimili uplate po završnim izvješćima u ukupnom iznosu od 22.588,00 EUR-a (konto 6321).</w:t>
      </w:r>
    </w:p>
    <w:p w14:paraId="7A0E3B56" w14:textId="77777777" w:rsidR="00EC0600" w:rsidRDefault="00EC0600"/>
    <w:sectPr w:rsidR="00EC06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600"/>
    <w:rsid w:val="003F683D"/>
    <w:rsid w:val="00A359D0"/>
    <w:rsid w:val="00B066A2"/>
    <w:rsid w:val="00EC06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3C07"/>
  <w15:docId w15:val="{18F1EB61-850B-42A9-8957-538E5F00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4092</Words>
  <Characters>23326</Characters>
  <Application>Microsoft Office Word</Application>
  <DocSecurity>0</DocSecurity>
  <Lines>194</Lines>
  <Paragraphs>54</Paragraphs>
  <ScaleCrop>false</ScaleCrop>
  <Company/>
  <LinksUpToDate>false</LinksUpToDate>
  <CharactersWithSpaces>27364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 ICT</dc:creator>
  <cp:lastModifiedBy>Frane Urem</cp:lastModifiedBy>
  <cp:revision>2</cp:revision>
  <dcterms:created xsi:type="dcterms:W3CDTF">2026-02-10T15:46:00Z</dcterms:created>
  <dcterms:modified xsi:type="dcterms:W3CDTF">2026-02-10T15:46:00Z</dcterms:modified>
</cp:coreProperties>
</file>