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AA" w:rsidRPr="004E6FAA" w:rsidRDefault="004E6FAA" w:rsidP="004E6FAA">
      <w:pPr>
        <w:rPr>
          <w:rFonts w:ascii="Times New Roman" w:hAnsi="Times New Roman" w:cs="Times New Roman"/>
          <w:b/>
        </w:rPr>
      </w:pPr>
      <w:r w:rsidRPr="004E6FAA">
        <w:rPr>
          <w:rFonts w:ascii="Times New Roman" w:hAnsi="Times New Roman" w:cs="Times New Roman"/>
          <w:b/>
        </w:rPr>
        <w:t>VELEUČILIŠTE U ŠIBENIKU</w:t>
      </w:r>
    </w:p>
    <w:p w:rsidR="004E6FAA" w:rsidRPr="004E6FAA" w:rsidRDefault="004E6FAA" w:rsidP="004E6FAA">
      <w:pPr>
        <w:rPr>
          <w:rFonts w:ascii="Times New Roman" w:hAnsi="Times New Roman" w:cs="Times New Roman"/>
          <w:b/>
        </w:rPr>
      </w:pPr>
      <w:r w:rsidRPr="004E6FAA">
        <w:rPr>
          <w:rFonts w:ascii="Times New Roman" w:hAnsi="Times New Roman" w:cs="Times New Roman"/>
          <w:b/>
        </w:rPr>
        <w:t>22000 ŠIBENIK</w:t>
      </w:r>
    </w:p>
    <w:p w:rsidR="004E6FAA" w:rsidRPr="004E6FAA" w:rsidRDefault="004E6FAA" w:rsidP="004E6FAA">
      <w:pPr>
        <w:rPr>
          <w:rFonts w:ascii="Times New Roman" w:hAnsi="Times New Roman" w:cs="Times New Roman"/>
          <w:b/>
        </w:rPr>
      </w:pPr>
      <w:r w:rsidRPr="004E6FAA">
        <w:rPr>
          <w:rFonts w:ascii="Times New Roman" w:hAnsi="Times New Roman" w:cs="Times New Roman"/>
          <w:b/>
        </w:rPr>
        <w:t>Trg A. Hebranga 11</w:t>
      </w:r>
    </w:p>
    <w:p w:rsidR="004E6FAA" w:rsidRPr="004E6FAA" w:rsidRDefault="004E6FAA">
      <w:pPr>
        <w:rPr>
          <w:rFonts w:ascii="Times New Roman" w:hAnsi="Times New Roman" w:cs="Times New Roman"/>
          <w:b/>
          <w:sz w:val="24"/>
          <w:szCs w:val="24"/>
        </w:rPr>
      </w:pPr>
    </w:p>
    <w:p w:rsidR="00EF05CF" w:rsidRPr="004E6FAA" w:rsidRDefault="004E6FAA" w:rsidP="004E6F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FAA">
        <w:rPr>
          <w:rFonts w:ascii="Times New Roman" w:hAnsi="Times New Roman" w:cs="Times New Roman"/>
          <w:b/>
          <w:sz w:val="24"/>
          <w:szCs w:val="24"/>
        </w:rPr>
        <w:t>Obrazloženje Posebnog dijela godišnjeg izvještaja o izvršenju financijskog plana za 2023.</w:t>
      </w:r>
      <w:r w:rsidR="003333C4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4E6FAA" w:rsidRPr="004E6FAA" w:rsidRDefault="004E6FAA" w:rsidP="004E6FAA">
      <w:pPr>
        <w:jc w:val="center"/>
        <w:rPr>
          <w:rFonts w:ascii="Times New Roman" w:hAnsi="Times New Roman" w:cs="Times New Roman"/>
        </w:rPr>
      </w:pPr>
    </w:p>
    <w:p w:rsidR="00EF05CF" w:rsidRPr="004E6FAA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4E6FAA">
        <w:rPr>
          <w:rFonts w:ascii="Times New Roman" w:hAnsi="Times New Roman" w:cs="Times New Roman"/>
          <w:b/>
          <w:sz w:val="28"/>
        </w:rPr>
        <w:t>Sažetak djelokruga rada proračunskog korisnika</w:t>
      </w:r>
    </w:p>
    <w:p w:rsidR="004E6FAA" w:rsidRPr="00AC29F0" w:rsidRDefault="004E6FAA" w:rsidP="004E6FAA">
      <w:p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Veleučilište u Šibeniku je javno visoko učilište koje ustrojava i izvodi stručne studije i ima status javne ustanove. Upisano je 2006. godine u sudski registar Trgovačkog suda u Zadru – stalna služba u Šibeniku i u Upisnik visokih učilišta. Osnivač Veleučilišta je Republika Hrvatska, a prava i dužnosti osnivača obavlja Ministarstvo znanosti i obrazovanja Republike Hrvatske. Sjedište Veleučilišta je u Šibeniku, Trg Andrije Hebranga 11.</w:t>
      </w:r>
    </w:p>
    <w:p w:rsidR="004E6FAA" w:rsidRPr="00AC29F0" w:rsidRDefault="004E6FAA" w:rsidP="004E6FAA">
      <w:p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Primarno područje djelovanja Veleučilišta je visoko obrazovanje, koje uključuje ustrojavanje i izvođenje različitih stručnih studija, kao i programe stručnog usavršavanja za potrebe cjeloživotnog učenja. Veleučilište u Šibeniku, kao sastavni dio svoje obrazovne misije, nudi obrazovanje na preddiplomskim stručnim studijima 6. razine, uključujući stručne prijediplomske studijske programe Turistički menadžment, Poslovna informatika, Upravni studij, Promet i Sestrinstvo, sa sveukupnim obujmom od 180 ECTS bodova za svaki studijski program. Dodatno, Veleučilište pruža mogućnost obrazovanja na stručnim diplomskim studijima 7. razine, konkretno na programima Menadžment i Upravni studij, svaki s obujmom od 120 ECTS bodova.</w:t>
      </w:r>
    </w:p>
    <w:p w:rsidR="004E6FAA" w:rsidRPr="00AC29F0" w:rsidRDefault="004E6FAA" w:rsidP="004E6FAA">
      <w:p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Ove obrazovne programe Veleučilište integrira u svoj širi djelokrug rada i misiju, koja obuhvaća i znanstvenu i stručnu djelatnost što uključuje eksperimentalni i teorijski rad, industrijska istraživanja i eksperimentalni razvoj. Navedene djelatnosti uključuju izdavačku djelatnost, vještačenje, prevođenje, ekspertizu, savjetovanje, konzultantske usluge, organiziranje seminara i skupova, sudjelovanje u nacionalnim i međunarodnim projektima, izradu elaborata i analiza, istraživanje tržišta i ispitivanje javnog mijenja.</w:t>
      </w:r>
    </w:p>
    <w:p w:rsidR="004E6FAA" w:rsidRPr="00AC29F0" w:rsidRDefault="004E6FAA" w:rsidP="004E6FAA">
      <w:p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Veleučilište aktivno potiče i razvija suradnju sa znanstvenim organizacijama, drugim visokim učilištima, ustanovama, organizacijama i tvrtkama, kako na lokalnoj razini i unutar Republike Hrvatske, tako i na međunarodnoj razini. Sudjeluje u zajedničkim istraživačkim programima i nastoji jačati veze s relevantnim dionicima u svojoj zajednici i šire.</w:t>
      </w:r>
    </w:p>
    <w:p w:rsidR="004E6FAA" w:rsidRDefault="004E6FAA" w:rsidP="00BB47B9">
      <w:p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 xml:space="preserve">Na dan </w:t>
      </w:r>
      <w:r w:rsidR="00E6359D">
        <w:rPr>
          <w:rFonts w:ascii="Times New Roman" w:hAnsi="Times New Roman" w:cs="Times New Roman"/>
        </w:rPr>
        <w:t>31/12/2023</w:t>
      </w:r>
      <w:r w:rsidRPr="00AC29F0">
        <w:rPr>
          <w:rFonts w:ascii="Times New Roman" w:hAnsi="Times New Roman" w:cs="Times New Roman"/>
        </w:rPr>
        <w:t xml:space="preserve">. godine na Veleučilištu je zaposleno 53 zaposlenika, </w:t>
      </w:r>
      <w:r w:rsidR="00E6359D">
        <w:rPr>
          <w:rFonts w:ascii="Times New Roman" w:hAnsi="Times New Roman" w:cs="Times New Roman"/>
        </w:rPr>
        <w:t>od</w:t>
      </w:r>
      <w:r w:rsidRPr="00AC29F0">
        <w:rPr>
          <w:rFonts w:ascii="Times New Roman" w:hAnsi="Times New Roman" w:cs="Times New Roman"/>
        </w:rPr>
        <w:t xml:space="preserve"> toga 35 nastavnika i 18 djelatnika u administraciji te tehničkog i pomoćnog osoblja. Dvoje nastavnika Veleučilišta u Šibeniku obnaša funkciju u Vladi Republike Hrvatske i po posebnom propisu imaju pravo vratiti se na radno mjesto u nastavi na Veleučilištu u Šibeniku po prestanku mandata.</w:t>
      </w:r>
    </w:p>
    <w:p w:rsidR="000B339D" w:rsidRPr="00AC29F0" w:rsidRDefault="000B339D" w:rsidP="00BB47B9">
      <w:pPr>
        <w:jc w:val="both"/>
        <w:rPr>
          <w:rFonts w:ascii="Times New Roman" w:hAnsi="Times New Roman" w:cs="Times New Roman"/>
        </w:rPr>
      </w:pPr>
    </w:p>
    <w:p w:rsidR="00F815A6" w:rsidRPr="004E6FAA" w:rsidRDefault="00F665E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4E6FAA">
        <w:rPr>
          <w:rFonts w:ascii="Times New Roman" w:hAnsi="Times New Roman" w:cs="Times New Roman"/>
          <w:b/>
          <w:sz w:val="28"/>
        </w:rPr>
        <w:t>A621148</w:t>
      </w:r>
      <w:r w:rsidRPr="004E6FAA">
        <w:rPr>
          <w:rFonts w:ascii="Times New Roman" w:hAnsi="Times New Roman" w:cs="Times New Roman"/>
          <w:b/>
          <w:sz w:val="28"/>
        </w:rPr>
        <w:tab/>
        <w:t>REDOVNA DJELATNOST VELEUČILIŠTA U ŠIBENIKU</w:t>
      </w:r>
      <w:r w:rsidR="006F34E0">
        <w:rPr>
          <w:rFonts w:ascii="Times New Roman" w:hAnsi="Times New Roman" w:cs="Times New Roman"/>
          <w:b/>
          <w:sz w:val="28"/>
        </w:rPr>
        <w:t xml:space="preserve"> (IZ OPĆIH PRIHODA)</w:t>
      </w:r>
    </w:p>
    <w:p w:rsidR="00F815A6" w:rsidRPr="00AC29F0" w:rsidRDefault="00F815A6" w:rsidP="00F815A6">
      <w:pPr>
        <w:spacing w:after="0"/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Zakonske i druge pravne osnove</w:t>
      </w:r>
    </w:p>
    <w:p w:rsidR="00F241A6" w:rsidRPr="00AC29F0" w:rsidRDefault="00F241A6" w:rsidP="00F241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Zakon o znanstvenoj djelatnosti i visokom obrazovanju</w:t>
      </w:r>
    </w:p>
    <w:p w:rsidR="00F241A6" w:rsidRPr="00AC29F0" w:rsidRDefault="00F241A6" w:rsidP="00F241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 xml:space="preserve">Uredba o nazivima radnih mjesta i koeficijentima složenosti poslova u javnim službama  </w:t>
      </w:r>
    </w:p>
    <w:p w:rsidR="00F241A6" w:rsidRPr="00AC29F0" w:rsidRDefault="00F241A6" w:rsidP="00F241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lastRenderedPageBreak/>
        <w:t>Temeljni kolektivni ugovor za službenike i namještenike u javnim službama</w:t>
      </w:r>
    </w:p>
    <w:p w:rsidR="00F241A6" w:rsidRPr="00AC29F0" w:rsidRDefault="00F241A6" w:rsidP="00F241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Kolektivni ugovor za znanost i visoko obrazovanje</w:t>
      </w:r>
    </w:p>
    <w:p w:rsidR="00F815A6" w:rsidRPr="004E6FAA" w:rsidRDefault="00F815A6" w:rsidP="00F815A6">
      <w:pPr>
        <w:pStyle w:val="ListParagraph"/>
        <w:jc w:val="both"/>
        <w:rPr>
          <w:rFonts w:ascii="Times New Roman" w:hAnsi="Times New Roman" w:cs="Times New Roman"/>
          <w:i/>
        </w:rPr>
      </w:pPr>
    </w:p>
    <w:p w:rsidR="000370EA" w:rsidRDefault="00AC29F0" w:rsidP="000370EA">
      <w:p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Tijekom 2023. godine ostvareno je slijedeće: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61"/>
        <w:gridCol w:w="2323"/>
        <w:gridCol w:w="1272"/>
        <w:gridCol w:w="1017"/>
        <w:gridCol w:w="1539"/>
        <w:gridCol w:w="950"/>
      </w:tblGrid>
      <w:tr w:rsidR="005E28D2" w:rsidRPr="00AC29F0" w:rsidTr="005E28D2">
        <w:trPr>
          <w:trHeight w:val="7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29F0" w:rsidRPr="00AC29F0" w:rsidRDefault="00AC29F0" w:rsidP="00AC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29F0" w:rsidRPr="00AC29F0" w:rsidRDefault="00AC29F0" w:rsidP="00AC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29F0" w:rsidRPr="00AC29F0" w:rsidRDefault="00AC29F0" w:rsidP="00AC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IZVORNI PLAN ILI REBALANS </w:t>
            </w:r>
            <w:r w:rsidRPr="00AC29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29F0" w:rsidRPr="00AC29F0" w:rsidRDefault="00AC29F0" w:rsidP="00AC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PLAN </w:t>
            </w:r>
            <w:r w:rsidRPr="00AC29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29F0" w:rsidRPr="00AC29F0" w:rsidRDefault="00AC29F0" w:rsidP="00AC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OSTVARENJE/</w:t>
            </w:r>
            <w:r w:rsidRPr="00AC29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IZVRŠENJE </w:t>
            </w:r>
            <w:r w:rsidRPr="00AC29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01.2023. - 12.2023.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C29F0" w:rsidRPr="00AC29F0" w:rsidRDefault="005E28D2" w:rsidP="00AC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Izvršenje / Plan</w:t>
            </w:r>
          </w:p>
        </w:tc>
      </w:tr>
      <w:tr w:rsidR="00AC29F0" w:rsidRPr="00AC29F0" w:rsidTr="005E28D2">
        <w:trPr>
          <w:trHeight w:val="76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F0" w:rsidRPr="00AC29F0" w:rsidRDefault="00AC29F0" w:rsidP="006E550A">
            <w:pPr>
              <w:spacing w:after="0" w:line="240" w:lineRule="auto"/>
              <w:ind w:firstLineChars="500" w:firstLine="10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A621148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F0" w:rsidRPr="00AC29F0" w:rsidRDefault="00AC29F0" w:rsidP="006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REDOVNA DJELATNOST VELEUČILIŠTA I VISOKIH ŠKOLA (VELEUČILIŠTE U ŠIBENIKU)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0" w:rsidRPr="00AC29F0" w:rsidRDefault="00AC29F0" w:rsidP="00AC2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1.111.105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0" w:rsidRPr="00AC29F0" w:rsidRDefault="00AC29F0" w:rsidP="00AC2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1.280.335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0" w:rsidRPr="00AC29F0" w:rsidRDefault="00AC29F0" w:rsidP="00AC2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1.311.455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F0" w:rsidRPr="00AC29F0" w:rsidRDefault="00AC29F0" w:rsidP="00AC2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102,43</w:t>
            </w:r>
          </w:p>
        </w:tc>
      </w:tr>
    </w:tbl>
    <w:p w:rsidR="00AC29F0" w:rsidRDefault="00AC29F0" w:rsidP="000370EA">
      <w:pPr>
        <w:jc w:val="both"/>
        <w:rPr>
          <w:rFonts w:ascii="Times New Roman" w:hAnsi="Times New Roman" w:cs="Times New Roman"/>
        </w:rPr>
      </w:pPr>
    </w:p>
    <w:p w:rsidR="00AC29F0" w:rsidRDefault="00AC29F0" w:rsidP="00AC29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je</w:t>
      </w:r>
      <w:r w:rsidRPr="00AC29F0">
        <w:rPr>
          <w:rFonts w:ascii="Times New Roman" w:hAnsi="Times New Roman" w:cs="Times New Roman"/>
        </w:rPr>
        <w:t xml:space="preserve"> zabilježio je ukupne opće prihode i primitke u iznosu od 1.311.455</w:t>
      </w:r>
      <w:r w:rsidR="00332A91">
        <w:rPr>
          <w:rFonts w:ascii="Times New Roman" w:hAnsi="Times New Roman" w:cs="Times New Roman"/>
        </w:rPr>
        <w:t xml:space="preserve"> EUR</w:t>
      </w:r>
      <w:r w:rsidRPr="00AC29F0">
        <w:rPr>
          <w:rFonts w:ascii="Times New Roman" w:hAnsi="Times New Roman" w:cs="Times New Roman"/>
        </w:rPr>
        <w:t xml:space="preserve">, što predstavlja povećanje za 102,43% u odnosu na </w:t>
      </w:r>
      <w:r w:rsidR="00332A91">
        <w:rPr>
          <w:rFonts w:ascii="Times New Roman" w:hAnsi="Times New Roman" w:cs="Times New Roman"/>
        </w:rPr>
        <w:t>tekući</w:t>
      </w:r>
      <w:r w:rsidRPr="00AC29F0">
        <w:rPr>
          <w:rFonts w:ascii="Times New Roman" w:hAnsi="Times New Roman" w:cs="Times New Roman"/>
        </w:rPr>
        <w:t xml:space="preserve"> </w:t>
      </w:r>
      <w:r w:rsidR="00332A91">
        <w:rPr>
          <w:rFonts w:ascii="Times New Roman" w:hAnsi="Times New Roman" w:cs="Times New Roman"/>
        </w:rPr>
        <w:t>plan</w:t>
      </w:r>
      <w:r w:rsidRPr="00AC29F0">
        <w:rPr>
          <w:rFonts w:ascii="Times New Roman" w:hAnsi="Times New Roman" w:cs="Times New Roman"/>
        </w:rPr>
        <w:t xml:space="preserve">. Ovaj rast odražava stabilan </w:t>
      </w:r>
      <w:r>
        <w:rPr>
          <w:rFonts w:ascii="Times New Roman" w:hAnsi="Times New Roman" w:cs="Times New Roman"/>
        </w:rPr>
        <w:t xml:space="preserve">napredak u generiranju prihoda koji je ostvaren dodatnim zapošljavanjem </w:t>
      </w:r>
      <w:r w:rsidR="005E28D2">
        <w:rPr>
          <w:rFonts w:ascii="Times New Roman" w:hAnsi="Times New Roman" w:cs="Times New Roman"/>
        </w:rPr>
        <w:t xml:space="preserve">troje </w:t>
      </w:r>
      <w:r>
        <w:rPr>
          <w:rFonts w:ascii="Times New Roman" w:hAnsi="Times New Roman" w:cs="Times New Roman"/>
        </w:rPr>
        <w:t>nastavnika na prijediplomskom stručnom prijediplomskom</w:t>
      </w:r>
      <w:r w:rsidRPr="00AC29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studiju</w:t>
      </w:r>
      <w:r w:rsidRPr="00AC29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Sestrinstvo</w:t>
      </w:r>
      <w:r w:rsidR="005E28D2">
        <w:rPr>
          <w:rFonts w:ascii="Times New Roman" w:hAnsi="Times New Roman" w:cs="Times New Roman"/>
        </w:rPr>
        <w:t xml:space="preserve"> </w:t>
      </w:r>
      <w:r w:rsidR="00332A91">
        <w:rPr>
          <w:rFonts w:ascii="Times New Roman" w:hAnsi="Times New Roman" w:cs="Times New Roman"/>
        </w:rPr>
        <w:t xml:space="preserve">odnosno </w:t>
      </w:r>
      <w:r w:rsidR="005E28D2">
        <w:rPr>
          <w:rFonts w:ascii="Times New Roman" w:hAnsi="Times New Roman" w:cs="Times New Roman"/>
        </w:rPr>
        <w:t>dodatn</w:t>
      </w:r>
      <w:r w:rsidR="00332A91">
        <w:rPr>
          <w:rFonts w:ascii="Times New Roman" w:hAnsi="Times New Roman" w:cs="Times New Roman"/>
        </w:rPr>
        <w:t>im</w:t>
      </w:r>
      <w:r w:rsidR="005E28D2">
        <w:rPr>
          <w:rFonts w:ascii="Times New Roman" w:hAnsi="Times New Roman" w:cs="Times New Roman"/>
        </w:rPr>
        <w:t xml:space="preserve"> zapošljavanje jednog zaposlenika u </w:t>
      </w:r>
      <w:r w:rsidR="00332A91">
        <w:rPr>
          <w:rFonts w:ascii="Times New Roman" w:hAnsi="Times New Roman" w:cs="Times New Roman"/>
        </w:rPr>
        <w:t xml:space="preserve">novoosnovanom </w:t>
      </w:r>
      <w:r w:rsidR="005E28D2">
        <w:rPr>
          <w:rFonts w:ascii="Times New Roman" w:hAnsi="Times New Roman" w:cs="Times New Roman"/>
        </w:rPr>
        <w:t>Uredu za međunarodnu suradnju.</w:t>
      </w:r>
    </w:p>
    <w:p w:rsidR="00F815A6" w:rsidRPr="004E6FAA" w:rsidRDefault="00F815A6" w:rsidP="00F815A6">
      <w:pPr>
        <w:jc w:val="both"/>
        <w:rPr>
          <w:rFonts w:ascii="Times New Roman" w:hAnsi="Times New Roman" w:cs="Times New Roman"/>
        </w:rPr>
      </w:pPr>
    </w:p>
    <w:p w:rsidR="00967570" w:rsidRPr="004E6FAA" w:rsidRDefault="00967570" w:rsidP="0096757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4E6FAA">
        <w:rPr>
          <w:rFonts w:ascii="Times New Roman" w:hAnsi="Times New Roman" w:cs="Times New Roman"/>
          <w:b/>
          <w:sz w:val="28"/>
        </w:rPr>
        <w:t>A622122</w:t>
      </w:r>
      <w:r w:rsidRPr="004E6FAA">
        <w:rPr>
          <w:rFonts w:ascii="Times New Roman" w:hAnsi="Times New Roman" w:cs="Times New Roman"/>
          <w:b/>
          <w:sz w:val="28"/>
        </w:rPr>
        <w:tab/>
        <w:t>PROGRAMSKO FINANCIRANJE VELEUČILIŠTA U ŠIBENIKU</w:t>
      </w:r>
    </w:p>
    <w:p w:rsidR="00967570" w:rsidRPr="005E28D2" w:rsidRDefault="00967570" w:rsidP="00967570">
      <w:pPr>
        <w:spacing w:after="0"/>
        <w:jc w:val="both"/>
        <w:rPr>
          <w:rFonts w:ascii="Times New Roman" w:hAnsi="Times New Roman" w:cs="Times New Roman"/>
        </w:rPr>
      </w:pPr>
      <w:r w:rsidRPr="005E28D2">
        <w:rPr>
          <w:rFonts w:ascii="Times New Roman" w:hAnsi="Times New Roman" w:cs="Times New Roman"/>
        </w:rPr>
        <w:t>Zakonske i druge pravne osnove</w:t>
      </w:r>
    </w:p>
    <w:p w:rsidR="00967570" w:rsidRPr="005E28D2" w:rsidRDefault="00967570" w:rsidP="0096757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E28D2">
        <w:rPr>
          <w:rFonts w:ascii="Times New Roman" w:hAnsi="Times New Roman" w:cs="Times New Roman"/>
        </w:rPr>
        <w:t xml:space="preserve">Ugovor o programskom financiranju Veleučilišta u Šibeniku u akademskim godinama 2018/2019, 2019/2020, 2020/2021, 2021/2022  </w:t>
      </w:r>
    </w:p>
    <w:p w:rsidR="00967570" w:rsidRPr="004E6FAA" w:rsidRDefault="00967570" w:rsidP="00967570">
      <w:pPr>
        <w:pStyle w:val="ListParagraph"/>
        <w:spacing w:after="0"/>
        <w:jc w:val="both"/>
        <w:rPr>
          <w:rFonts w:ascii="Times New Roman" w:hAnsi="Times New Roman" w:cs="Times New Roman"/>
          <w:i/>
        </w:rPr>
      </w:pPr>
    </w:p>
    <w:p w:rsidR="005E28D2" w:rsidRDefault="005E28D2" w:rsidP="005E28D2">
      <w:p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Tijekom 2023. godine ostvareno je slijedeće: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7"/>
        <w:gridCol w:w="2184"/>
        <w:gridCol w:w="1272"/>
        <w:gridCol w:w="950"/>
        <w:gridCol w:w="1539"/>
        <w:gridCol w:w="950"/>
      </w:tblGrid>
      <w:tr w:rsidR="005E28D2" w:rsidRPr="005E28D2" w:rsidTr="005E28D2">
        <w:trPr>
          <w:trHeight w:val="7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8D2" w:rsidRPr="005E28D2" w:rsidRDefault="00180820" w:rsidP="00997CB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28D2" w:rsidRPr="005E28D2" w:rsidRDefault="00180820" w:rsidP="00997CB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8D2" w:rsidRPr="005E28D2" w:rsidRDefault="005E28D2" w:rsidP="005E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8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IZVORNI PLAN ILI REBALANS </w:t>
            </w:r>
            <w:r w:rsidRPr="005E28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8D2" w:rsidRPr="005E28D2" w:rsidRDefault="005E28D2" w:rsidP="005E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8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PLAN </w:t>
            </w:r>
            <w:r w:rsidRPr="005E28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8D2" w:rsidRPr="005E28D2" w:rsidRDefault="005E28D2" w:rsidP="005E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8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OSTVARENJE/</w:t>
            </w:r>
            <w:r w:rsidRPr="005E28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IZVRŠENJE </w:t>
            </w:r>
            <w:r w:rsidRPr="005E28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01.2023. - 12.2023.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28D2" w:rsidRPr="00AC29F0" w:rsidRDefault="005E28D2" w:rsidP="005E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Izvršenje / Plan</w:t>
            </w:r>
          </w:p>
        </w:tc>
      </w:tr>
      <w:tr w:rsidR="005E28D2" w:rsidRPr="005E28D2" w:rsidTr="005E28D2">
        <w:trPr>
          <w:trHeight w:val="76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D2" w:rsidRPr="005E28D2" w:rsidRDefault="005E28D2" w:rsidP="005E28D2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8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A622122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8D2" w:rsidRPr="005E28D2" w:rsidRDefault="005E28D2" w:rsidP="005E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E28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PROGRAMSKO FINANCIRANJE JAVNIH VISOKIH UČILIŠTA (VELEUČILIŠTE U ŠIBENIKU)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D2" w:rsidRPr="005E28D2" w:rsidRDefault="005E28D2" w:rsidP="005E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230.015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D2" w:rsidRPr="005E28D2" w:rsidRDefault="005E28D2" w:rsidP="005E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119.482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D2" w:rsidRPr="005E28D2" w:rsidRDefault="005E28D2" w:rsidP="005E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145.150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8D2" w:rsidRPr="005E28D2" w:rsidRDefault="005E28D2" w:rsidP="005E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121,48</w:t>
            </w:r>
          </w:p>
        </w:tc>
      </w:tr>
    </w:tbl>
    <w:p w:rsidR="00967570" w:rsidRPr="004E6FAA" w:rsidRDefault="00967570" w:rsidP="00967570">
      <w:pPr>
        <w:jc w:val="both"/>
        <w:rPr>
          <w:rFonts w:ascii="Times New Roman" w:hAnsi="Times New Roman" w:cs="Times New Roman"/>
        </w:rPr>
      </w:pPr>
    </w:p>
    <w:p w:rsidR="00967570" w:rsidRDefault="002E1373" w:rsidP="00967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Izvršena su planirana ulaganja u informatičku opremu i investicijsko održavanje nastavnih prostora. Provedeni su</w:t>
      </w:r>
      <w:r w:rsidRPr="002E13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postupci</w:t>
      </w:r>
      <w:r w:rsidRPr="002E1373">
        <w:rPr>
          <w:rFonts w:ascii="Times New Roman" w:hAnsi="Times New Roman" w:cs="Times New Roman"/>
        </w:rPr>
        <w:t xml:space="preserve"> interne prosudbe sustava osiguravanja kvalitete prema ISO normi</w:t>
      </w:r>
      <w:r>
        <w:rPr>
          <w:rFonts w:ascii="Times New Roman" w:hAnsi="Times New Roman" w:cs="Times New Roman"/>
        </w:rPr>
        <w:t xml:space="preserve">. Značajno se ulagalo u marketinške aktivnosti </w:t>
      </w:r>
      <w:r w:rsidRPr="002E1373">
        <w:rPr>
          <w:rFonts w:ascii="Times New Roman" w:hAnsi="Times New Roman" w:cs="Times New Roman"/>
        </w:rPr>
        <w:t>u vezi nastave, upisa ili projekata koji su u tijeku</w:t>
      </w:r>
      <w:r>
        <w:rPr>
          <w:rFonts w:ascii="Times New Roman" w:hAnsi="Times New Roman" w:cs="Times New Roman"/>
        </w:rPr>
        <w:t xml:space="preserve">. </w:t>
      </w:r>
    </w:p>
    <w:p w:rsidR="000B339D" w:rsidRDefault="000B3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67570" w:rsidRPr="004E6FAA" w:rsidRDefault="00967570" w:rsidP="0096757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4E6FAA">
        <w:rPr>
          <w:rFonts w:ascii="Times New Roman" w:hAnsi="Times New Roman" w:cs="Times New Roman"/>
          <w:b/>
          <w:sz w:val="28"/>
        </w:rPr>
        <w:lastRenderedPageBreak/>
        <w:t>A679094</w:t>
      </w:r>
      <w:r w:rsidRPr="004E6FAA">
        <w:rPr>
          <w:rFonts w:ascii="Times New Roman" w:hAnsi="Times New Roman" w:cs="Times New Roman"/>
          <w:b/>
          <w:sz w:val="28"/>
        </w:rPr>
        <w:tab/>
        <w:t>REDOVNA DJELATNOST VELEUČILIŠTA U ŠIBENIKU (IZ EVIDENCIJSKIH PRIHODA)</w:t>
      </w:r>
    </w:p>
    <w:p w:rsidR="00967570" w:rsidRPr="005E28D2" w:rsidRDefault="00967570" w:rsidP="00967570">
      <w:pPr>
        <w:spacing w:after="0"/>
        <w:jc w:val="both"/>
        <w:rPr>
          <w:rFonts w:ascii="Times New Roman" w:hAnsi="Times New Roman" w:cs="Times New Roman"/>
        </w:rPr>
      </w:pPr>
      <w:r w:rsidRPr="005E28D2">
        <w:rPr>
          <w:rFonts w:ascii="Times New Roman" w:hAnsi="Times New Roman" w:cs="Times New Roman"/>
        </w:rPr>
        <w:t>Zakonske i druge pravne osnove</w:t>
      </w:r>
    </w:p>
    <w:p w:rsidR="00967570" w:rsidRPr="005E28D2" w:rsidRDefault="00967570" w:rsidP="0096757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E28D2">
        <w:rPr>
          <w:rFonts w:ascii="Times New Roman" w:hAnsi="Times New Roman" w:cs="Times New Roman"/>
        </w:rPr>
        <w:t>Zakon o znanstvenoj djelatnosti i visokom obrazovanju</w:t>
      </w:r>
    </w:p>
    <w:p w:rsidR="00967570" w:rsidRPr="005E28D2" w:rsidRDefault="00967570" w:rsidP="00967570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E28D2">
        <w:rPr>
          <w:rFonts w:ascii="Times New Roman" w:hAnsi="Times New Roman" w:cs="Times New Roman"/>
        </w:rPr>
        <w:t xml:space="preserve">Uredba o nazivima radnih mjesta i koeficijentima složenosti poslova u javnim službama  </w:t>
      </w:r>
    </w:p>
    <w:p w:rsidR="00967570" w:rsidRPr="005E28D2" w:rsidRDefault="00967570" w:rsidP="009675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28D2">
        <w:rPr>
          <w:rFonts w:ascii="Times New Roman" w:hAnsi="Times New Roman" w:cs="Times New Roman"/>
        </w:rPr>
        <w:t>Temeljni kolektivni ugovor za službenike i namještenike u javnim službama</w:t>
      </w:r>
    </w:p>
    <w:p w:rsidR="00967570" w:rsidRPr="005E28D2" w:rsidRDefault="00967570" w:rsidP="009675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28D2">
        <w:rPr>
          <w:rFonts w:ascii="Times New Roman" w:hAnsi="Times New Roman" w:cs="Times New Roman"/>
        </w:rPr>
        <w:t>Kolektivni ugovor za znanost i visoko obrazovanje</w:t>
      </w:r>
    </w:p>
    <w:p w:rsidR="00585043" w:rsidRDefault="00585043" w:rsidP="002E1373">
      <w:pPr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Tijekom 2023. godine ostvareno je slijedeće: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7"/>
        <w:gridCol w:w="2184"/>
        <w:gridCol w:w="1272"/>
        <w:gridCol w:w="950"/>
        <w:gridCol w:w="1539"/>
        <w:gridCol w:w="950"/>
      </w:tblGrid>
      <w:tr w:rsidR="00997CB6" w:rsidRPr="004A7CE2" w:rsidTr="00997CB6">
        <w:trPr>
          <w:trHeight w:val="7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7CB6" w:rsidRPr="005E28D2" w:rsidRDefault="00997CB6" w:rsidP="00997CB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7CB6" w:rsidRPr="005E28D2" w:rsidRDefault="00997CB6" w:rsidP="00997CB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IZVORNI PLAN ILI REBALANS 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PLAN 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OSTVARENJE/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IZVRŠENJE 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01.2023. - 12.2023.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/ Plan</w:t>
            </w:r>
          </w:p>
        </w:tc>
      </w:tr>
      <w:tr w:rsidR="00997CB6" w:rsidRPr="004A7CE2" w:rsidTr="00997CB6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A679094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REDOVNA DJELATNOST VELEUČILIŠTA U ŠIBENIKU (IZ EVIDENCIJSKIH PRIHODA)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293.612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837.338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840.215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100,34</w:t>
            </w:r>
          </w:p>
        </w:tc>
      </w:tr>
    </w:tbl>
    <w:p w:rsidR="00B53B12" w:rsidRDefault="00B53B12" w:rsidP="00967570">
      <w:pPr>
        <w:jc w:val="both"/>
        <w:rPr>
          <w:rFonts w:ascii="Times New Roman" w:hAnsi="Times New Roman" w:cs="Times New Roman"/>
        </w:rPr>
      </w:pPr>
    </w:p>
    <w:p w:rsidR="002E1373" w:rsidRPr="004E6FAA" w:rsidRDefault="002E1373" w:rsidP="00967570">
      <w:pPr>
        <w:jc w:val="both"/>
        <w:rPr>
          <w:rFonts w:ascii="Times New Roman" w:hAnsi="Times New Roman" w:cs="Times New Roman"/>
        </w:rPr>
      </w:pPr>
      <w:r w:rsidRPr="002E1373">
        <w:rPr>
          <w:rFonts w:ascii="Times New Roman" w:hAnsi="Times New Roman" w:cs="Times New Roman"/>
        </w:rPr>
        <w:t xml:space="preserve">Izvršena su planirana ulaganja </w:t>
      </w:r>
      <w:r>
        <w:rPr>
          <w:rFonts w:ascii="Times New Roman" w:hAnsi="Times New Roman" w:cs="Times New Roman"/>
        </w:rPr>
        <w:t>u ljudske resurse u nastavi (plaćanje troškova doktorskih studija, objave znanstvenih i stručnih radova, sudjelovanje na međunarodnim konferencijama).</w:t>
      </w:r>
      <w:r w:rsidR="006F34E0">
        <w:rPr>
          <w:rFonts w:ascii="Times New Roman" w:hAnsi="Times New Roman" w:cs="Times New Roman"/>
        </w:rPr>
        <w:t xml:space="preserve"> Održana je </w:t>
      </w:r>
      <w:r>
        <w:rPr>
          <w:rFonts w:ascii="Times New Roman" w:hAnsi="Times New Roman" w:cs="Times New Roman"/>
        </w:rPr>
        <w:t xml:space="preserve"> </w:t>
      </w:r>
      <w:r w:rsidR="006F34E0" w:rsidRPr="006F34E0">
        <w:rPr>
          <w:rFonts w:ascii="Times New Roman" w:hAnsi="Times New Roman" w:cs="Times New Roman"/>
        </w:rPr>
        <w:t>6. međunarodna znanstvena i stručna konferencija "Izazovi današnjice," od 05. do 07. listopada 2023. godine</w:t>
      </w:r>
      <w:r w:rsidR="006F34E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Isplaćene su stipendije izvrsnim studentima. Nabavljene su knjige za potrebe knjižnice, izrađeno je novo web sjedište</w:t>
      </w:r>
      <w:r w:rsidR="006F34E0">
        <w:rPr>
          <w:rFonts w:ascii="Times New Roman" w:hAnsi="Times New Roman" w:cs="Times New Roman"/>
        </w:rPr>
        <w:t>.</w:t>
      </w:r>
    </w:p>
    <w:p w:rsidR="003343E5" w:rsidRPr="004E6FAA" w:rsidRDefault="003343E5" w:rsidP="00967570">
      <w:pPr>
        <w:jc w:val="both"/>
        <w:rPr>
          <w:rFonts w:ascii="Times New Roman" w:hAnsi="Times New Roman" w:cs="Times New Roman"/>
        </w:rPr>
      </w:pPr>
    </w:p>
    <w:p w:rsidR="001D35BE" w:rsidRPr="004E6FAA" w:rsidRDefault="005E28D2" w:rsidP="001D35BE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5E28D2">
        <w:rPr>
          <w:rFonts w:ascii="Times New Roman" w:hAnsi="Times New Roman" w:cs="Times New Roman"/>
          <w:b/>
          <w:sz w:val="28"/>
        </w:rPr>
        <w:t>A679076</w:t>
      </w:r>
      <w:r w:rsidR="001D35BE" w:rsidRPr="004E6FAA">
        <w:rPr>
          <w:rFonts w:ascii="Times New Roman" w:hAnsi="Times New Roman" w:cs="Times New Roman"/>
          <w:b/>
          <w:sz w:val="28"/>
        </w:rPr>
        <w:tab/>
      </w:r>
      <w:r w:rsidRPr="005E28D2">
        <w:rPr>
          <w:rFonts w:ascii="Times New Roman" w:hAnsi="Times New Roman" w:cs="Times New Roman"/>
          <w:b/>
          <w:sz w:val="28"/>
        </w:rPr>
        <w:t xml:space="preserve">EU PROJEKTI </w:t>
      </w:r>
      <w:r w:rsidR="003D3C2D" w:rsidRPr="003D3C2D">
        <w:rPr>
          <w:rFonts w:ascii="Times New Roman" w:hAnsi="Times New Roman" w:cs="Times New Roman"/>
          <w:b/>
          <w:sz w:val="28"/>
        </w:rPr>
        <w:t>VELEUČILIŠTA U ŠIBENIKU</w:t>
      </w:r>
    </w:p>
    <w:p w:rsidR="001D35BE" w:rsidRPr="005E28D2" w:rsidRDefault="001D35BE" w:rsidP="001D35BE">
      <w:pPr>
        <w:spacing w:after="0"/>
        <w:jc w:val="both"/>
        <w:rPr>
          <w:rFonts w:ascii="Times New Roman" w:hAnsi="Times New Roman" w:cs="Times New Roman"/>
        </w:rPr>
      </w:pPr>
      <w:r w:rsidRPr="005E28D2">
        <w:rPr>
          <w:rFonts w:ascii="Times New Roman" w:hAnsi="Times New Roman" w:cs="Times New Roman"/>
        </w:rPr>
        <w:t>Zakonske i druge pravne osnove:</w:t>
      </w:r>
    </w:p>
    <w:p w:rsidR="005E28D2" w:rsidRPr="005E28D2" w:rsidRDefault="001D35BE" w:rsidP="005E28D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E28D2">
        <w:rPr>
          <w:rFonts w:ascii="Times New Roman" w:hAnsi="Times New Roman" w:cs="Times New Roman"/>
        </w:rPr>
        <w:t>Sklopljeni sporazumi o dodjeli bespovratnih sredstava za projekte u okviru programa ERASMUS+</w:t>
      </w:r>
      <w:bookmarkStart w:id="0" w:name="_GoBack"/>
      <w:bookmarkEnd w:id="0"/>
    </w:p>
    <w:p w:rsidR="001D35BE" w:rsidRPr="004E6FAA" w:rsidRDefault="001D35BE" w:rsidP="001D35BE">
      <w:pPr>
        <w:pStyle w:val="ListParagraph"/>
        <w:spacing w:after="0"/>
        <w:jc w:val="both"/>
        <w:rPr>
          <w:rFonts w:ascii="Times New Roman" w:hAnsi="Times New Roman" w:cs="Times New Roman"/>
          <w:i/>
        </w:rPr>
      </w:pPr>
    </w:p>
    <w:p w:rsidR="004A7CE2" w:rsidRDefault="004A7CE2" w:rsidP="004A7CE2">
      <w:p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Tijekom 2023. godine ostvareno je slijedeće: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7"/>
        <w:gridCol w:w="2184"/>
        <w:gridCol w:w="1272"/>
        <w:gridCol w:w="950"/>
        <w:gridCol w:w="1539"/>
        <w:gridCol w:w="950"/>
      </w:tblGrid>
      <w:tr w:rsidR="00997CB6" w:rsidRPr="004A7CE2" w:rsidTr="00997CB6">
        <w:trPr>
          <w:trHeight w:val="7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7CB6" w:rsidRPr="005E28D2" w:rsidRDefault="00997CB6" w:rsidP="00997CB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7CB6" w:rsidRPr="005E28D2" w:rsidRDefault="00997CB6" w:rsidP="00997CB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IZVORNI PLAN ILI REBALANS 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PLAN 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OSTVARENJE/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IZVRŠENJE 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01.2023. - 12.2023.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/ Plan</w:t>
            </w:r>
          </w:p>
        </w:tc>
      </w:tr>
      <w:tr w:rsidR="00997CB6" w:rsidRPr="004A7CE2" w:rsidTr="00997CB6">
        <w:trPr>
          <w:trHeight w:val="51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A679076</w:t>
            </w: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PROJEKTI VELEUČILIŠTA I VISOKIH ŠKOLA (VELEUČILIŠTE U ŠIBENIKU)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66.565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111.139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93.786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4A7CE2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A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84,39</w:t>
            </w:r>
          </w:p>
        </w:tc>
      </w:tr>
    </w:tbl>
    <w:p w:rsidR="00B53B12" w:rsidRDefault="00B53B12" w:rsidP="00967570">
      <w:pPr>
        <w:jc w:val="both"/>
        <w:rPr>
          <w:rFonts w:ascii="Times New Roman" w:hAnsi="Times New Roman" w:cs="Times New Roman"/>
        </w:rPr>
      </w:pPr>
    </w:p>
    <w:p w:rsidR="006F34E0" w:rsidRDefault="006F34E0" w:rsidP="00967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Ugovoreni su novi Erasmus+ projekti u području mobilnosti (KA 131, KA 171). </w:t>
      </w:r>
      <w:r w:rsidR="004C4837">
        <w:rPr>
          <w:rFonts w:ascii="Times New Roman" w:hAnsi="Times New Roman" w:cs="Times New Roman"/>
        </w:rPr>
        <w:t>Zabilježen je</w:t>
      </w:r>
      <w:r w:rsidR="004C4837" w:rsidRPr="004C4837">
        <w:rPr>
          <w:rFonts w:ascii="Times New Roman" w:hAnsi="Times New Roman" w:cs="Times New Roman"/>
        </w:rPr>
        <w:t xml:space="preserve"> </w:t>
      </w:r>
      <w:r w:rsidR="004C4837">
        <w:rPr>
          <w:rFonts w:ascii="Times New Roman" w:hAnsi="Times New Roman" w:cs="Times New Roman"/>
        </w:rPr>
        <w:t>značajan</w:t>
      </w:r>
      <w:r w:rsidR="004C4837" w:rsidRPr="004C4837">
        <w:rPr>
          <w:rFonts w:ascii="Times New Roman" w:hAnsi="Times New Roman" w:cs="Times New Roman"/>
        </w:rPr>
        <w:t xml:space="preserve"> porast kako u odlaznim tako i u dolaznim mobilnostima u usporedbi s prethodnom godinom. Ukupan broj odlaznih mobilnosti se povećao sa 9 u 2022. na 39 u 2023., ukazujući na znatno jačanje međunarodne suradnje i mobilnosti među studentima i osobljem. Slično tome, dolazne mobilnosti su također porasle, s 20 u 2022. na 34 u 2023. godini, što odražava rastuću atraktivnost institucije kao odredišta za međunarodne akademske i studentske razmjene.</w:t>
      </w:r>
      <w:r w:rsidR="004C4837">
        <w:rPr>
          <w:rFonts w:ascii="Times New Roman" w:hAnsi="Times New Roman" w:cs="Times New Roman"/>
        </w:rPr>
        <w:t xml:space="preserve"> </w:t>
      </w:r>
    </w:p>
    <w:p w:rsidR="006F34E0" w:rsidRDefault="000B339D" w:rsidP="00967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Provedene</w:t>
      </w:r>
      <w:r w:rsidR="004C4837">
        <w:rPr>
          <w:rFonts w:ascii="Times New Roman" w:hAnsi="Times New Roman" w:cs="Times New Roman"/>
        </w:rPr>
        <w:t xml:space="preserve"> su planirane aktivnosti na prethodno ugovorena četiri Erasmus KA2 projektima (</w:t>
      </w:r>
      <w:proofErr w:type="spellStart"/>
      <w:r w:rsidR="004C4837">
        <w:rPr>
          <w:rFonts w:ascii="Times New Roman" w:hAnsi="Times New Roman" w:cs="Times New Roman"/>
        </w:rPr>
        <w:t>CodeIn</w:t>
      </w:r>
      <w:proofErr w:type="spellEnd"/>
      <w:r w:rsidR="004C4837">
        <w:rPr>
          <w:rFonts w:ascii="Times New Roman" w:hAnsi="Times New Roman" w:cs="Times New Roman"/>
        </w:rPr>
        <w:t xml:space="preserve">, </w:t>
      </w:r>
      <w:proofErr w:type="spellStart"/>
      <w:r w:rsidR="004C4837">
        <w:rPr>
          <w:rFonts w:ascii="Times New Roman" w:hAnsi="Times New Roman" w:cs="Times New Roman"/>
        </w:rPr>
        <w:t>EverGreen</w:t>
      </w:r>
      <w:proofErr w:type="spellEnd"/>
      <w:r w:rsidR="004C4837">
        <w:rPr>
          <w:rFonts w:ascii="Times New Roman" w:hAnsi="Times New Roman" w:cs="Times New Roman"/>
        </w:rPr>
        <w:t xml:space="preserve">, </w:t>
      </w:r>
      <w:proofErr w:type="spellStart"/>
      <w:r w:rsidR="004C4837">
        <w:rPr>
          <w:rFonts w:ascii="Times New Roman" w:hAnsi="Times New Roman" w:cs="Times New Roman"/>
        </w:rPr>
        <w:t>Wobis</w:t>
      </w:r>
      <w:proofErr w:type="spellEnd"/>
      <w:r w:rsidR="004C4837">
        <w:rPr>
          <w:rFonts w:ascii="Times New Roman" w:hAnsi="Times New Roman" w:cs="Times New Roman"/>
        </w:rPr>
        <w:t xml:space="preserve">, </w:t>
      </w:r>
      <w:proofErr w:type="spellStart"/>
      <w:r w:rsidR="004C4837">
        <w:rPr>
          <w:rFonts w:ascii="Times New Roman" w:hAnsi="Times New Roman" w:cs="Times New Roman"/>
        </w:rPr>
        <w:t>Ecce</w:t>
      </w:r>
      <w:proofErr w:type="spellEnd"/>
      <w:r w:rsidR="004C4837">
        <w:rPr>
          <w:rFonts w:ascii="Times New Roman" w:hAnsi="Times New Roman" w:cs="Times New Roman"/>
        </w:rPr>
        <w:t>).</w:t>
      </w:r>
      <w:r w:rsidR="004C4837" w:rsidRPr="004C4837">
        <w:rPr>
          <w:rFonts w:ascii="Times New Roman" w:hAnsi="Times New Roman" w:cs="Times New Roman"/>
        </w:rPr>
        <w:t xml:space="preserve"> </w:t>
      </w:r>
      <w:r w:rsidR="004C4837">
        <w:rPr>
          <w:rFonts w:ascii="Times New Roman" w:hAnsi="Times New Roman" w:cs="Times New Roman"/>
        </w:rPr>
        <w:t xml:space="preserve">Ugovorena su dva nova Erasmus KA2 projekta na kojima je Veleučilište partner (SIT, </w:t>
      </w:r>
      <w:proofErr w:type="spellStart"/>
      <w:r w:rsidR="004C4837">
        <w:rPr>
          <w:rFonts w:ascii="Times New Roman" w:hAnsi="Times New Roman" w:cs="Times New Roman"/>
        </w:rPr>
        <w:t>Avico</w:t>
      </w:r>
      <w:proofErr w:type="spellEnd"/>
      <w:r w:rsidR="004C4837">
        <w:rPr>
          <w:rFonts w:ascii="Times New Roman" w:hAnsi="Times New Roman" w:cs="Times New Roman"/>
        </w:rPr>
        <w:t xml:space="preserve">). Također je odobren jedan </w:t>
      </w:r>
      <w:r>
        <w:rPr>
          <w:rFonts w:ascii="Times New Roman" w:hAnsi="Times New Roman" w:cs="Times New Roman"/>
        </w:rPr>
        <w:t xml:space="preserve">novi </w:t>
      </w:r>
      <w:proofErr w:type="spellStart"/>
      <w:r w:rsidR="004C4837">
        <w:rPr>
          <w:rFonts w:ascii="Times New Roman" w:hAnsi="Times New Roman" w:cs="Times New Roman"/>
        </w:rPr>
        <w:t>InterReg</w:t>
      </w:r>
      <w:proofErr w:type="spellEnd"/>
      <w:r w:rsidR="004C4837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 xml:space="preserve"> iz programa</w:t>
      </w:r>
      <w:r w:rsidR="004C4837">
        <w:rPr>
          <w:rFonts w:ascii="Times New Roman" w:hAnsi="Times New Roman" w:cs="Times New Roman"/>
        </w:rPr>
        <w:t xml:space="preserve"> prekogranične suradnje Italija-Hrvatska na kojem je Veleučilište nositelj (Blue </w:t>
      </w:r>
      <w:proofErr w:type="spellStart"/>
      <w:r w:rsidR="004C4837">
        <w:rPr>
          <w:rFonts w:ascii="Times New Roman" w:hAnsi="Times New Roman" w:cs="Times New Roman"/>
        </w:rPr>
        <w:t>Skilled</w:t>
      </w:r>
      <w:proofErr w:type="spellEnd"/>
      <w:r w:rsidR="004C4837">
        <w:rPr>
          <w:rFonts w:ascii="Times New Roman" w:hAnsi="Times New Roman" w:cs="Times New Roman"/>
        </w:rPr>
        <w:t>).</w:t>
      </w:r>
    </w:p>
    <w:p w:rsidR="006327FD" w:rsidRPr="004E6FAA" w:rsidRDefault="006327FD" w:rsidP="00967570">
      <w:pPr>
        <w:jc w:val="both"/>
        <w:rPr>
          <w:rFonts w:ascii="Times New Roman" w:hAnsi="Times New Roman" w:cs="Times New Roman"/>
        </w:rPr>
      </w:pPr>
    </w:p>
    <w:p w:rsidR="006327FD" w:rsidRPr="004E6FAA" w:rsidRDefault="006327FD" w:rsidP="006327F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4E6FAA">
        <w:rPr>
          <w:rFonts w:ascii="Times New Roman" w:hAnsi="Times New Roman" w:cs="Times New Roman"/>
          <w:b/>
          <w:sz w:val="28"/>
        </w:rPr>
        <w:t>K679084</w:t>
      </w:r>
      <w:r w:rsidRPr="004E6FAA">
        <w:rPr>
          <w:rFonts w:ascii="Times New Roman" w:hAnsi="Times New Roman" w:cs="Times New Roman"/>
          <w:b/>
          <w:sz w:val="28"/>
        </w:rPr>
        <w:tab/>
      </w:r>
      <w:r w:rsidR="00C32E31" w:rsidRPr="00C32E31">
        <w:rPr>
          <w:rFonts w:ascii="Times New Roman" w:hAnsi="Times New Roman" w:cs="Times New Roman"/>
          <w:b/>
          <w:sz w:val="28"/>
        </w:rPr>
        <w:t xml:space="preserve">OP KONKURENTNOST I KOHEZIJA 2014.-2020., PRIORITET 1, 9 i 10 (Studentski dom </w:t>
      </w:r>
      <w:proofErr w:type="spellStart"/>
      <w:r w:rsidR="00C32E31" w:rsidRPr="00C32E31">
        <w:rPr>
          <w:rFonts w:ascii="Times New Roman" w:hAnsi="Times New Roman" w:cs="Times New Roman"/>
          <w:b/>
          <w:sz w:val="28"/>
        </w:rPr>
        <w:t>Palacin</w:t>
      </w:r>
      <w:proofErr w:type="spellEnd"/>
      <w:r w:rsidR="00C32E31" w:rsidRPr="00C32E31">
        <w:rPr>
          <w:rFonts w:ascii="Times New Roman" w:hAnsi="Times New Roman" w:cs="Times New Roman"/>
          <w:b/>
          <w:sz w:val="28"/>
        </w:rPr>
        <w:t>)</w:t>
      </w:r>
    </w:p>
    <w:p w:rsidR="006327FD" w:rsidRPr="00C32E31" w:rsidRDefault="006327FD" w:rsidP="006327FD">
      <w:pPr>
        <w:spacing w:after="0"/>
        <w:jc w:val="both"/>
        <w:rPr>
          <w:rFonts w:ascii="Times New Roman" w:hAnsi="Times New Roman" w:cs="Times New Roman"/>
        </w:rPr>
      </w:pPr>
      <w:r w:rsidRPr="00C32E31">
        <w:rPr>
          <w:rFonts w:ascii="Times New Roman" w:hAnsi="Times New Roman" w:cs="Times New Roman"/>
        </w:rPr>
        <w:t>Zakonske i druge pravne osnove:</w:t>
      </w:r>
    </w:p>
    <w:p w:rsidR="006327FD" w:rsidRDefault="006327FD" w:rsidP="006327F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32E31">
        <w:rPr>
          <w:rFonts w:ascii="Times New Roman" w:hAnsi="Times New Roman" w:cs="Times New Roman"/>
        </w:rPr>
        <w:t xml:space="preserve">Sklopljeni sporazumi o dodjeli bespovratnih sredstava za o dodjeli bespovratnih sredstava za projekt izgradnje Studentskog doma </w:t>
      </w:r>
      <w:proofErr w:type="spellStart"/>
      <w:r w:rsidRPr="00C32E31">
        <w:rPr>
          <w:rFonts w:ascii="Times New Roman" w:hAnsi="Times New Roman" w:cs="Times New Roman"/>
        </w:rPr>
        <w:t>Palacin</w:t>
      </w:r>
      <w:proofErr w:type="spellEnd"/>
    </w:p>
    <w:p w:rsidR="006C0B97" w:rsidRDefault="006C0B97" w:rsidP="006C0B97">
      <w:pPr>
        <w:spacing w:after="0"/>
        <w:jc w:val="both"/>
        <w:rPr>
          <w:rFonts w:ascii="Times New Roman" w:hAnsi="Times New Roman" w:cs="Times New Roman"/>
        </w:rPr>
      </w:pPr>
    </w:p>
    <w:p w:rsidR="006C0B97" w:rsidRDefault="006C0B97" w:rsidP="006C0B97">
      <w:pPr>
        <w:jc w:val="both"/>
        <w:rPr>
          <w:rFonts w:ascii="Times New Roman" w:hAnsi="Times New Roman" w:cs="Times New Roman"/>
        </w:rPr>
      </w:pPr>
      <w:r w:rsidRPr="00AC29F0">
        <w:rPr>
          <w:rFonts w:ascii="Times New Roman" w:hAnsi="Times New Roman" w:cs="Times New Roman"/>
        </w:rPr>
        <w:t>Tijekom 2023. godine ostvareno je slijedeće:</w:t>
      </w:r>
    </w:p>
    <w:p w:rsidR="006327FD" w:rsidRPr="004E6FAA" w:rsidRDefault="006327FD" w:rsidP="006327FD">
      <w:pPr>
        <w:pStyle w:val="ListParagraph"/>
        <w:spacing w:after="0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7"/>
        <w:gridCol w:w="2118"/>
        <w:gridCol w:w="1272"/>
        <w:gridCol w:w="1016"/>
        <w:gridCol w:w="1539"/>
        <w:gridCol w:w="950"/>
      </w:tblGrid>
      <w:tr w:rsidR="00997CB6" w:rsidRPr="006C0B97" w:rsidTr="00997CB6">
        <w:trPr>
          <w:trHeight w:val="76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7CB6" w:rsidRPr="005E28D2" w:rsidRDefault="00997CB6" w:rsidP="00997CB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97CB6" w:rsidRPr="005E28D2" w:rsidRDefault="00997CB6" w:rsidP="00997CB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2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IZVORNI PLAN ILI REBALANS </w:t>
            </w: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TEKUĆI PLAN </w:t>
            </w: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OSTVARENJE/</w:t>
            </w: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 xml:space="preserve">IZVRŠENJE </w:t>
            </w: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01.2023. - 12.2023.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(4)/(3)</w:t>
            </w:r>
          </w:p>
        </w:tc>
      </w:tr>
      <w:tr w:rsidR="00997CB6" w:rsidRPr="006C0B97" w:rsidTr="00997CB6">
        <w:trPr>
          <w:trHeight w:val="76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K679084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OP KONKURENTNOST I KOHEZIJA 2014.-2020., PRIORITET 1, 9 i 10 (Studentski dom </w:t>
            </w:r>
            <w:proofErr w:type="spellStart"/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Palacin</w:t>
            </w:r>
            <w:proofErr w:type="spellEnd"/>
            <w:r w:rsidRPr="006C0B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1.600.000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1.925.878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1.925.878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B6" w:rsidRPr="006C0B97" w:rsidRDefault="00997CB6" w:rsidP="00997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</w:tbl>
    <w:p w:rsidR="006327FD" w:rsidRDefault="006327FD" w:rsidP="006327FD">
      <w:pPr>
        <w:jc w:val="both"/>
        <w:rPr>
          <w:rFonts w:ascii="Times New Roman" w:hAnsi="Times New Roman" w:cs="Times New Roman"/>
        </w:rPr>
      </w:pPr>
    </w:p>
    <w:p w:rsidR="000B339D" w:rsidRPr="00C32E31" w:rsidRDefault="00C6004E" w:rsidP="006327FD">
      <w:pPr>
        <w:jc w:val="both"/>
        <w:rPr>
          <w:rFonts w:ascii="Times New Roman" w:hAnsi="Times New Roman" w:cs="Times New Roman"/>
        </w:rPr>
      </w:pPr>
      <w:r w:rsidRPr="00C6004E">
        <w:rPr>
          <w:rFonts w:ascii="Times New Roman" w:hAnsi="Times New Roman" w:cs="Times New Roman"/>
        </w:rPr>
        <w:t>Veleučilište u Šibeniku uspješno je provelo projekt ukupne vrijednosti 11.328.702,31 eura, od čega je iz Europskog fonda za regionalni razvoj osigurano 10.057.535,34 eura.</w:t>
      </w:r>
      <w:r>
        <w:rPr>
          <w:rFonts w:ascii="Times New Roman" w:hAnsi="Times New Roman" w:cs="Times New Roman"/>
        </w:rPr>
        <w:t xml:space="preserve"> Projekt je službeno završen 30. lipnja 2023. godine, a svečano je otvoren 11. srpnja 2023. godine. </w:t>
      </w:r>
      <w:r w:rsidR="00252791" w:rsidRPr="00252791">
        <w:rPr>
          <w:rFonts w:ascii="Times New Roman" w:hAnsi="Times New Roman" w:cs="Times New Roman"/>
        </w:rPr>
        <w:t>Novoizgrađeni dom ukupne površine 7.863,38 m2, ima 332 ležaja i najvrjedniji je infrastrukturni projekt u gradu Šibeniku i Šibensko-kninskoj županiji vezan uz visoko obrazovanje.</w:t>
      </w:r>
    </w:p>
    <w:sectPr w:rsidR="000B339D" w:rsidRPr="00C32E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BB" w:rsidRDefault="001D21BB">
      <w:pPr>
        <w:spacing w:after="0" w:line="240" w:lineRule="auto"/>
      </w:pPr>
      <w:r>
        <w:separator/>
      </w:r>
    </w:p>
  </w:endnote>
  <w:endnote w:type="continuationSeparator" w:id="0">
    <w:p w:rsidR="001D21BB" w:rsidRDefault="001D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6F34E0" w:rsidRDefault="006F34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C2D">
          <w:rPr>
            <w:noProof/>
          </w:rPr>
          <w:t>4</w:t>
        </w:r>
        <w:r>
          <w:fldChar w:fldCharType="end"/>
        </w:r>
      </w:p>
    </w:sdtContent>
  </w:sdt>
  <w:p w:rsidR="006F34E0" w:rsidRDefault="006F3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BB" w:rsidRDefault="001D21BB">
      <w:pPr>
        <w:spacing w:after="0" w:line="240" w:lineRule="auto"/>
      </w:pPr>
      <w:r>
        <w:separator/>
      </w:r>
    </w:p>
  </w:footnote>
  <w:footnote w:type="continuationSeparator" w:id="0">
    <w:p w:rsidR="001D21BB" w:rsidRDefault="001D2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3AA7"/>
    <w:multiLevelType w:val="hybridMultilevel"/>
    <w:tmpl w:val="A8B81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xNDQ3srQ0MTIyNLRQ0lEKTi0uzszPAykwqQUAM4osZiwAAAA="/>
  </w:docVars>
  <w:rsids>
    <w:rsidRoot w:val="00EF05CF"/>
    <w:rsid w:val="00030327"/>
    <w:rsid w:val="000370EA"/>
    <w:rsid w:val="00041E58"/>
    <w:rsid w:val="00092796"/>
    <w:rsid w:val="000B339D"/>
    <w:rsid w:val="00180820"/>
    <w:rsid w:val="001B0F7A"/>
    <w:rsid w:val="001B3688"/>
    <w:rsid w:val="001D21BB"/>
    <w:rsid w:val="001D35BE"/>
    <w:rsid w:val="001F2D29"/>
    <w:rsid w:val="00220BF7"/>
    <w:rsid w:val="00227D81"/>
    <w:rsid w:val="00252791"/>
    <w:rsid w:val="002C7121"/>
    <w:rsid w:val="002D0A60"/>
    <w:rsid w:val="002D444E"/>
    <w:rsid w:val="002E1373"/>
    <w:rsid w:val="003239CD"/>
    <w:rsid w:val="00324025"/>
    <w:rsid w:val="00332A91"/>
    <w:rsid w:val="003333C4"/>
    <w:rsid w:val="003343E5"/>
    <w:rsid w:val="003B2CF0"/>
    <w:rsid w:val="003D3C2D"/>
    <w:rsid w:val="00474EAA"/>
    <w:rsid w:val="004A7CE2"/>
    <w:rsid w:val="004C3A59"/>
    <w:rsid w:val="004C4837"/>
    <w:rsid w:val="004E02C5"/>
    <w:rsid w:val="004E6FAA"/>
    <w:rsid w:val="00585043"/>
    <w:rsid w:val="00585281"/>
    <w:rsid w:val="005D44AD"/>
    <w:rsid w:val="005E28D2"/>
    <w:rsid w:val="006327FD"/>
    <w:rsid w:val="00661893"/>
    <w:rsid w:val="006C0B97"/>
    <w:rsid w:val="006E550A"/>
    <w:rsid w:val="006F34E0"/>
    <w:rsid w:val="00703212"/>
    <w:rsid w:val="0073330B"/>
    <w:rsid w:val="00756361"/>
    <w:rsid w:val="00791CBE"/>
    <w:rsid w:val="007D5D35"/>
    <w:rsid w:val="008223B8"/>
    <w:rsid w:val="00846E65"/>
    <w:rsid w:val="008750BD"/>
    <w:rsid w:val="00967570"/>
    <w:rsid w:val="00991639"/>
    <w:rsid w:val="00997CB6"/>
    <w:rsid w:val="009A65A8"/>
    <w:rsid w:val="009E2203"/>
    <w:rsid w:val="009F236F"/>
    <w:rsid w:val="00A46CB2"/>
    <w:rsid w:val="00A8127F"/>
    <w:rsid w:val="00AC29F0"/>
    <w:rsid w:val="00AD2240"/>
    <w:rsid w:val="00AF3696"/>
    <w:rsid w:val="00B30E74"/>
    <w:rsid w:val="00B53B12"/>
    <w:rsid w:val="00B7598C"/>
    <w:rsid w:val="00BB47B9"/>
    <w:rsid w:val="00BD7FDD"/>
    <w:rsid w:val="00BE741E"/>
    <w:rsid w:val="00C32E31"/>
    <w:rsid w:val="00C6004E"/>
    <w:rsid w:val="00C84559"/>
    <w:rsid w:val="00C856DD"/>
    <w:rsid w:val="00CB764D"/>
    <w:rsid w:val="00CE6294"/>
    <w:rsid w:val="00CF5163"/>
    <w:rsid w:val="00D057D4"/>
    <w:rsid w:val="00D10681"/>
    <w:rsid w:val="00D22B2F"/>
    <w:rsid w:val="00D375DC"/>
    <w:rsid w:val="00D83084"/>
    <w:rsid w:val="00DA7AFE"/>
    <w:rsid w:val="00E02786"/>
    <w:rsid w:val="00E16FD6"/>
    <w:rsid w:val="00E6359D"/>
    <w:rsid w:val="00E66B41"/>
    <w:rsid w:val="00E73840"/>
    <w:rsid w:val="00EF05CF"/>
    <w:rsid w:val="00EF0A99"/>
    <w:rsid w:val="00F12286"/>
    <w:rsid w:val="00F241A6"/>
    <w:rsid w:val="00F352ED"/>
    <w:rsid w:val="00F665E6"/>
    <w:rsid w:val="00F815A6"/>
    <w:rsid w:val="00FD5729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3A1279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1072</Words>
  <Characters>6882</Characters>
  <Application>Microsoft Office Word</Application>
  <DocSecurity>0</DocSecurity>
  <Lines>245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frane</cp:lastModifiedBy>
  <cp:revision>46</cp:revision>
  <dcterms:created xsi:type="dcterms:W3CDTF">2021-09-08T13:09:00Z</dcterms:created>
  <dcterms:modified xsi:type="dcterms:W3CDTF">2024-03-09T16:54:00Z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fbf151969ee3fa3c753744b006f5fca2886d499f00502e6a04baf8f32de8e8b7</vt:lpwstr>
  </property>
</Properties>
</file>